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875"/>
        <w:gridCol w:w="3600"/>
        <w:gridCol w:w="6475"/>
      </w:tblGrid>
      <w:tr w:rsidR="003F3FF3" w14:paraId="74595DBA" w14:textId="77777777" w:rsidTr="002A7883">
        <w:tc>
          <w:tcPr>
            <w:tcW w:w="2875" w:type="dxa"/>
            <w:shd w:val="clear" w:color="auto" w:fill="BFBFBF" w:themeFill="background1" w:themeFillShade="BF"/>
          </w:tcPr>
          <w:p w14:paraId="06ECE576" w14:textId="77777777" w:rsidR="003F3FF3" w:rsidRPr="0000769C" w:rsidRDefault="009A0C67">
            <w:pPr>
              <w:rPr>
                <w:b/>
                <w:sz w:val="28"/>
                <w:szCs w:val="28"/>
              </w:rPr>
            </w:pPr>
            <w:bookmarkStart w:id="0" w:name="_GoBack"/>
            <w:bookmarkEnd w:id="0"/>
            <w:r w:rsidRPr="0000769C">
              <w:rPr>
                <w:b/>
                <w:sz w:val="28"/>
                <w:szCs w:val="28"/>
              </w:rPr>
              <w:t>Resource</w:t>
            </w:r>
          </w:p>
        </w:tc>
        <w:tc>
          <w:tcPr>
            <w:tcW w:w="3600" w:type="dxa"/>
            <w:shd w:val="clear" w:color="auto" w:fill="BFBFBF" w:themeFill="background1" w:themeFillShade="BF"/>
          </w:tcPr>
          <w:p w14:paraId="492B893A" w14:textId="694EEFDB" w:rsidR="003F3FF3" w:rsidRPr="0000769C" w:rsidRDefault="00465E2D" w:rsidP="00465E2D">
            <w:pPr>
              <w:rPr>
                <w:b/>
                <w:sz w:val="28"/>
                <w:szCs w:val="28"/>
              </w:rPr>
            </w:pPr>
            <w:r w:rsidRPr="0000769C">
              <w:rPr>
                <w:b/>
                <w:sz w:val="28"/>
                <w:szCs w:val="28"/>
              </w:rPr>
              <w:t>How</w:t>
            </w:r>
            <w:r w:rsidR="009A0C67" w:rsidRPr="0000769C">
              <w:rPr>
                <w:b/>
                <w:sz w:val="28"/>
                <w:szCs w:val="28"/>
              </w:rPr>
              <w:t xml:space="preserve"> to Access</w:t>
            </w:r>
          </w:p>
        </w:tc>
        <w:tc>
          <w:tcPr>
            <w:tcW w:w="6475" w:type="dxa"/>
            <w:shd w:val="clear" w:color="auto" w:fill="BFBFBF" w:themeFill="background1" w:themeFillShade="BF"/>
          </w:tcPr>
          <w:p w14:paraId="263C5A1A" w14:textId="77777777" w:rsidR="003F3FF3" w:rsidRPr="0000769C" w:rsidRDefault="009A0C67">
            <w:pPr>
              <w:rPr>
                <w:b/>
                <w:sz w:val="28"/>
                <w:szCs w:val="28"/>
              </w:rPr>
            </w:pPr>
            <w:r w:rsidRPr="0000769C">
              <w:rPr>
                <w:b/>
                <w:sz w:val="28"/>
                <w:szCs w:val="28"/>
              </w:rPr>
              <w:t>Summary</w:t>
            </w:r>
          </w:p>
        </w:tc>
      </w:tr>
      <w:tr w:rsidR="009A0C67" w14:paraId="3D5E6ECD" w14:textId="77777777" w:rsidTr="00342A5B">
        <w:tc>
          <w:tcPr>
            <w:tcW w:w="12950" w:type="dxa"/>
            <w:gridSpan w:val="3"/>
            <w:shd w:val="clear" w:color="auto" w:fill="EDEDED" w:themeFill="accent3" w:themeFillTint="33"/>
          </w:tcPr>
          <w:p w14:paraId="236D90F3" w14:textId="35BACEEB" w:rsidR="009A0C67" w:rsidRPr="0000769C" w:rsidRDefault="00D624F2" w:rsidP="00D624F2">
            <w:pPr>
              <w:rPr>
                <w:b/>
                <w:sz w:val="24"/>
                <w:szCs w:val="24"/>
              </w:rPr>
            </w:pPr>
            <w:r w:rsidRPr="0000769C">
              <w:rPr>
                <w:b/>
                <w:sz w:val="24"/>
                <w:szCs w:val="24"/>
              </w:rPr>
              <w:t>Transition Planning Resources/Supports</w:t>
            </w:r>
          </w:p>
        </w:tc>
      </w:tr>
      <w:tr w:rsidR="00941A74" w14:paraId="46033760" w14:textId="77777777" w:rsidTr="002A7883">
        <w:tc>
          <w:tcPr>
            <w:tcW w:w="2875" w:type="dxa"/>
            <w:shd w:val="clear" w:color="auto" w:fill="FFFFFF" w:themeFill="background1"/>
          </w:tcPr>
          <w:p w14:paraId="6ACD94F9" w14:textId="02B78114" w:rsidR="00941A74" w:rsidRDefault="00941A74" w:rsidP="00941A74">
            <w:r>
              <w:t xml:space="preserve">Rural Institute for Inclusive Communities- Transition and Employment Projects </w:t>
            </w:r>
          </w:p>
        </w:tc>
        <w:tc>
          <w:tcPr>
            <w:tcW w:w="3600" w:type="dxa"/>
            <w:shd w:val="clear" w:color="auto" w:fill="FFFFFF" w:themeFill="background1"/>
          </w:tcPr>
          <w:p w14:paraId="54DF96EF" w14:textId="77777777" w:rsidR="00941A74" w:rsidRDefault="00AF442B" w:rsidP="00941A74">
            <w:hyperlink r:id="rId7" w:history="1">
              <w:r w:rsidR="00941A74" w:rsidRPr="00995BE9">
                <w:rPr>
                  <w:rStyle w:val="Hyperlink"/>
                </w:rPr>
                <w:t>http://ruralinstitute.umt.edu/transition/</w:t>
              </w:r>
            </w:hyperlink>
          </w:p>
          <w:p w14:paraId="6BD900E0" w14:textId="6C6998BA" w:rsidR="00941A74" w:rsidRDefault="00941A74" w:rsidP="00941A74"/>
        </w:tc>
        <w:tc>
          <w:tcPr>
            <w:tcW w:w="6475" w:type="dxa"/>
            <w:shd w:val="clear" w:color="auto" w:fill="FFFFFF" w:themeFill="background1"/>
          </w:tcPr>
          <w:p w14:paraId="7F038B48" w14:textId="20AE3149" w:rsidR="00941A74" w:rsidRDefault="00941A74" w:rsidP="00941A74">
            <w:r>
              <w:t xml:space="preserve">Visit this site to access articles, emerging leader stories, planning tools and archived webinars pertaining to transition, as well as customized and self-employment.  Archived webinars and handouts are also available </w:t>
            </w:r>
          </w:p>
        </w:tc>
      </w:tr>
      <w:tr w:rsidR="009A0C67" w14:paraId="61899E73" w14:textId="77777777" w:rsidTr="002A7883">
        <w:tc>
          <w:tcPr>
            <w:tcW w:w="2875" w:type="dxa"/>
            <w:shd w:val="clear" w:color="auto" w:fill="FFFFFF" w:themeFill="background1"/>
          </w:tcPr>
          <w:p w14:paraId="04703F36" w14:textId="008B979A" w:rsidR="009A0C67" w:rsidRDefault="001602E2" w:rsidP="001602E2">
            <w:r>
              <w:t>Montana Youth Transitions</w:t>
            </w:r>
          </w:p>
        </w:tc>
        <w:tc>
          <w:tcPr>
            <w:tcW w:w="3600" w:type="dxa"/>
            <w:shd w:val="clear" w:color="auto" w:fill="FFFFFF" w:themeFill="background1"/>
          </w:tcPr>
          <w:p w14:paraId="4ACD91D5" w14:textId="49FC9510" w:rsidR="00342A5B" w:rsidRDefault="00AF442B">
            <w:hyperlink r:id="rId8" w:history="1">
              <w:r w:rsidR="001602E2" w:rsidRPr="00995BE9">
                <w:rPr>
                  <w:rStyle w:val="Hyperlink"/>
                </w:rPr>
                <w:t>http://montanayouthtransitions.org/</w:t>
              </w:r>
            </w:hyperlink>
          </w:p>
          <w:p w14:paraId="79EF6BD0" w14:textId="539DFFD2" w:rsidR="001602E2" w:rsidRDefault="00AF442B">
            <w:hyperlink r:id="rId9" w:history="1">
              <w:r w:rsidR="001602E2" w:rsidRPr="00995BE9">
                <w:rPr>
                  <w:rStyle w:val="Hyperlink"/>
                </w:rPr>
                <w:t>http://montanayouthtransitions.org/regions/</w:t>
              </w:r>
            </w:hyperlink>
          </w:p>
          <w:p w14:paraId="388CBEC4" w14:textId="77777777" w:rsidR="001602E2" w:rsidRDefault="001602E2"/>
          <w:p w14:paraId="6135AC38" w14:textId="102A88C4" w:rsidR="001602E2" w:rsidRDefault="001602E2"/>
        </w:tc>
        <w:tc>
          <w:tcPr>
            <w:tcW w:w="6475" w:type="dxa"/>
            <w:shd w:val="clear" w:color="auto" w:fill="FFFFFF" w:themeFill="background1"/>
          </w:tcPr>
          <w:p w14:paraId="631CC39F" w14:textId="1967221B" w:rsidR="009A0C67" w:rsidRDefault="001602E2" w:rsidP="001602E2">
            <w:r>
              <w:t xml:space="preserve">MYT’s mission is to improve transition services and increase the number of youth with disabilities who achieve their desired post-school outcomes.  Visit their Professional resources for teaching self-advocacy, supported decision making/guardianship, post-secondary transition resources/assessments, and soft skills curriculum.  Participate, stay up-to-date, and collaborate in your local MYT region.  </w:t>
            </w:r>
          </w:p>
        </w:tc>
      </w:tr>
      <w:tr w:rsidR="009A0C67" w14:paraId="799226B5" w14:textId="77777777" w:rsidTr="002A7883">
        <w:tc>
          <w:tcPr>
            <w:tcW w:w="2875" w:type="dxa"/>
            <w:shd w:val="clear" w:color="auto" w:fill="FFFFFF" w:themeFill="background1"/>
          </w:tcPr>
          <w:p w14:paraId="5018ADF3" w14:textId="3B5E37F8" w:rsidR="009A0C67" w:rsidRDefault="00342A5B" w:rsidP="00342A5B">
            <w:r>
              <w:t xml:space="preserve">National Technical Assistance Center on Transition </w:t>
            </w:r>
          </w:p>
        </w:tc>
        <w:tc>
          <w:tcPr>
            <w:tcW w:w="3600" w:type="dxa"/>
            <w:shd w:val="clear" w:color="auto" w:fill="FFFFFF" w:themeFill="background1"/>
          </w:tcPr>
          <w:p w14:paraId="45B51DB1" w14:textId="56828830" w:rsidR="009A0C67" w:rsidRDefault="00AF442B">
            <w:hyperlink r:id="rId10" w:history="1">
              <w:r w:rsidR="00342A5B" w:rsidRPr="000979E1">
                <w:rPr>
                  <w:rStyle w:val="Hyperlink"/>
                </w:rPr>
                <w:t>http://www.transitionta.org/</w:t>
              </w:r>
            </w:hyperlink>
          </w:p>
          <w:p w14:paraId="5DD61ADE" w14:textId="1E412F02" w:rsidR="00342A5B" w:rsidRDefault="00342A5B"/>
        </w:tc>
        <w:tc>
          <w:tcPr>
            <w:tcW w:w="6475" w:type="dxa"/>
            <w:shd w:val="clear" w:color="auto" w:fill="FFFFFF" w:themeFill="background1"/>
          </w:tcPr>
          <w:p w14:paraId="79D19D72" w14:textId="66A061CB" w:rsidR="009A0C67" w:rsidRDefault="001602E2">
            <w:r w:rsidRPr="001602E2">
              <w:t>NTACT’s purpose is to assist State Education Agencies, Local Education Agencies, State VR agencies, and VR service providers in implementing evidence-based and promising practices ensuring students with disabilities, including those with significant disabilities, graduate prepared for success in postsecondary education and employment.</w:t>
            </w:r>
          </w:p>
        </w:tc>
      </w:tr>
      <w:tr w:rsidR="00342A5B" w14:paraId="2102C409" w14:textId="77777777" w:rsidTr="002A7883">
        <w:tc>
          <w:tcPr>
            <w:tcW w:w="2875" w:type="dxa"/>
            <w:shd w:val="clear" w:color="auto" w:fill="FFFFFF" w:themeFill="background1"/>
          </w:tcPr>
          <w:p w14:paraId="74D59FAC" w14:textId="77777777" w:rsidR="00342A5B" w:rsidRDefault="00342A5B"/>
        </w:tc>
        <w:tc>
          <w:tcPr>
            <w:tcW w:w="3600" w:type="dxa"/>
            <w:shd w:val="clear" w:color="auto" w:fill="FFFFFF" w:themeFill="background1"/>
          </w:tcPr>
          <w:p w14:paraId="425B856A" w14:textId="77777777" w:rsidR="00342A5B" w:rsidRDefault="00342A5B"/>
        </w:tc>
        <w:tc>
          <w:tcPr>
            <w:tcW w:w="6475" w:type="dxa"/>
            <w:shd w:val="clear" w:color="auto" w:fill="FFFFFF" w:themeFill="background1"/>
          </w:tcPr>
          <w:p w14:paraId="4C1A1E21" w14:textId="77777777" w:rsidR="00342A5B" w:rsidRDefault="00342A5B"/>
        </w:tc>
      </w:tr>
      <w:tr w:rsidR="00D624F2" w14:paraId="766E825B" w14:textId="77777777" w:rsidTr="00D624F2">
        <w:tc>
          <w:tcPr>
            <w:tcW w:w="12950" w:type="dxa"/>
            <w:gridSpan w:val="3"/>
            <w:shd w:val="clear" w:color="auto" w:fill="F2F2F2" w:themeFill="background1" w:themeFillShade="F2"/>
          </w:tcPr>
          <w:p w14:paraId="7BDA07E9" w14:textId="09F46CB0" w:rsidR="00D624F2" w:rsidRPr="0000769C" w:rsidRDefault="00D624F2" w:rsidP="00D624F2">
            <w:pPr>
              <w:rPr>
                <w:b/>
                <w:sz w:val="24"/>
                <w:szCs w:val="24"/>
              </w:rPr>
            </w:pPr>
            <w:r w:rsidRPr="0000769C">
              <w:rPr>
                <w:b/>
                <w:sz w:val="24"/>
                <w:szCs w:val="24"/>
              </w:rPr>
              <w:t>Transition Planning Workbooks</w:t>
            </w:r>
          </w:p>
        </w:tc>
      </w:tr>
      <w:tr w:rsidR="00D624F2" w14:paraId="114000FD" w14:textId="77777777" w:rsidTr="002A7883">
        <w:tc>
          <w:tcPr>
            <w:tcW w:w="2875" w:type="dxa"/>
            <w:shd w:val="clear" w:color="auto" w:fill="FFFFFF" w:themeFill="background1"/>
          </w:tcPr>
          <w:p w14:paraId="09585CEE" w14:textId="00FA5244" w:rsidR="00D624F2" w:rsidRDefault="00D624F2" w:rsidP="00D624F2">
            <w:r>
              <w:t>Planning for Your Transition from High School to Adult Life</w:t>
            </w:r>
          </w:p>
        </w:tc>
        <w:tc>
          <w:tcPr>
            <w:tcW w:w="3600" w:type="dxa"/>
            <w:shd w:val="clear" w:color="auto" w:fill="FFFFFF" w:themeFill="background1"/>
          </w:tcPr>
          <w:p w14:paraId="68B7F177" w14:textId="31E8AFCD" w:rsidR="00D624F2" w:rsidRDefault="00AF442B" w:rsidP="00D624F2">
            <w:hyperlink r:id="rId11" w:history="1">
              <w:r w:rsidR="00DC676E" w:rsidRPr="00995BE9">
                <w:rPr>
                  <w:rStyle w:val="Hyperlink"/>
                </w:rPr>
                <w:t>http://ruralinstitute.umt.edu/transition/articles/planningworkbook.pdf</w:t>
              </w:r>
            </w:hyperlink>
          </w:p>
          <w:p w14:paraId="1DF1CEF6" w14:textId="3996C95E" w:rsidR="00DC676E" w:rsidRDefault="00DC676E" w:rsidP="00D624F2"/>
        </w:tc>
        <w:tc>
          <w:tcPr>
            <w:tcW w:w="6475" w:type="dxa"/>
            <w:shd w:val="clear" w:color="auto" w:fill="FFFFFF" w:themeFill="background1"/>
          </w:tcPr>
          <w:p w14:paraId="609D6531" w14:textId="7AB8A54C" w:rsidR="00D624F2" w:rsidRDefault="00E079F5" w:rsidP="001602E2">
            <w:r>
              <w:t xml:space="preserve">A workbook helps youth take the lead in post-secondary planning.  Through conversations in </w:t>
            </w:r>
            <w:r w:rsidR="001602E2">
              <w:t>either</w:t>
            </w:r>
            <w:r>
              <w:t xml:space="preserve"> small or large groups, </w:t>
            </w:r>
            <w:r w:rsidR="001602E2">
              <w:t xml:space="preserve">workbook activities </w:t>
            </w:r>
            <w:r>
              <w:t xml:space="preserve">help students decide what they want life to look like after graduation and the stops needed to make it happen.  </w:t>
            </w:r>
          </w:p>
        </w:tc>
      </w:tr>
      <w:tr w:rsidR="00D624F2" w14:paraId="3B1874D6" w14:textId="77777777" w:rsidTr="002A7883">
        <w:tc>
          <w:tcPr>
            <w:tcW w:w="2875" w:type="dxa"/>
            <w:shd w:val="clear" w:color="auto" w:fill="FFFFFF" w:themeFill="background1"/>
          </w:tcPr>
          <w:p w14:paraId="13B3AF6D" w14:textId="1E32A245" w:rsidR="00D624F2" w:rsidRDefault="00D624F2" w:rsidP="00D624F2">
            <w:r>
              <w:t>It’s My Choice</w:t>
            </w:r>
          </w:p>
        </w:tc>
        <w:tc>
          <w:tcPr>
            <w:tcW w:w="3600" w:type="dxa"/>
            <w:shd w:val="clear" w:color="auto" w:fill="FFFFFF" w:themeFill="background1"/>
          </w:tcPr>
          <w:p w14:paraId="5712FA3A" w14:textId="5C80EC5F" w:rsidR="00D624F2" w:rsidRDefault="00AF442B" w:rsidP="00D624F2">
            <w:hyperlink r:id="rId12" w:history="1">
              <w:r w:rsidR="00DC676E" w:rsidRPr="00995BE9">
                <w:rPr>
                  <w:rStyle w:val="Hyperlink"/>
                </w:rPr>
                <w:t>https://movingstudentsforward.org/its-my-choice-workbook-from-mn-governors-council-on-developmental-disabilities/</w:t>
              </w:r>
            </w:hyperlink>
          </w:p>
          <w:p w14:paraId="6F5DB09A" w14:textId="1EB9C04D" w:rsidR="00DC676E" w:rsidRDefault="00DC676E" w:rsidP="00D624F2"/>
        </w:tc>
        <w:tc>
          <w:tcPr>
            <w:tcW w:w="6475" w:type="dxa"/>
            <w:shd w:val="clear" w:color="auto" w:fill="FFFFFF" w:themeFill="background1"/>
          </w:tcPr>
          <w:p w14:paraId="784CF323" w14:textId="55441728" w:rsidR="00D624F2" w:rsidRDefault="00A13062" w:rsidP="00A13062">
            <w:r>
              <w:t>A free workbook that supports self-advocacy and transition planning for students with significant disabilities.  Classrooms can access the workbook by downloading, completing electronically, or as a MP3 audio version.</w:t>
            </w:r>
          </w:p>
        </w:tc>
      </w:tr>
      <w:tr w:rsidR="00D624F2" w14:paraId="7DE56C5E" w14:textId="77777777" w:rsidTr="002A7883">
        <w:tc>
          <w:tcPr>
            <w:tcW w:w="2875" w:type="dxa"/>
            <w:shd w:val="clear" w:color="auto" w:fill="FFFFFF" w:themeFill="background1"/>
          </w:tcPr>
          <w:p w14:paraId="1427B0A1" w14:textId="1787E0F3" w:rsidR="00D624F2" w:rsidRDefault="00D624F2" w:rsidP="00D624F2">
            <w:r>
              <w:t>Pepnet2 deaf and hard of hearing</w:t>
            </w:r>
          </w:p>
        </w:tc>
        <w:tc>
          <w:tcPr>
            <w:tcW w:w="3600" w:type="dxa"/>
            <w:shd w:val="clear" w:color="auto" w:fill="FFFFFF" w:themeFill="background1"/>
          </w:tcPr>
          <w:p w14:paraId="78AA6B86" w14:textId="7CB26C98" w:rsidR="00D624F2" w:rsidRDefault="00AF442B" w:rsidP="00D624F2">
            <w:hyperlink r:id="rId13" w:history="1">
              <w:r w:rsidR="00A13062" w:rsidRPr="00995BE9">
                <w:rPr>
                  <w:rStyle w:val="Hyperlink"/>
                </w:rPr>
                <w:t>http://www.pepnet.org/</w:t>
              </w:r>
            </w:hyperlink>
          </w:p>
          <w:p w14:paraId="51AFC443" w14:textId="15A511D9" w:rsidR="00A13062" w:rsidRDefault="00A13062" w:rsidP="00D624F2"/>
        </w:tc>
        <w:tc>
          <w:tcPr>
            <w:tcW w:w="6475" w:type="dxa"/>
            <w:shd w:val="clear" w:color="auto" w:fill="FFFFFF" w:themeFill="background1"/>
          </w:tcPr>
          <w:p w14:paraId="5F092BE2" w14:textId="0FD0D751" w:rsidR="00D624F2" w:rsidRDefault="00A13062" w:rsidP="00A13062">
            <w:r>
              <w:t xml:space="preserve">This site offers transition planning support for postsecondary education, training and employment options for individuals who are deaf or hard of hearing. Check out their online training modules for classroom based activities.  </w:t>
            </w:r>
          </w:p>
        </w:tc>
      </w:tr>
      <w:tr w:rsidR="00D624F2" w14:paraId="6097DE2F" w14:textId="77777777" w:rsidTr="002A7883">
        <w:tc>
          <w:tcPr>
            <w:tcW w:w="2875" w:type="dxa"/>
            <w:shd w:val="clear" w:color="auto" w:fill="FFFFFF" w:themeFill="background1"/>
          </w:tcPr>
          <w:p w14:paraId="04DBDBFD" w14:textId="1505617B" w:rsidR="00D624F2" w:rsidRDefault="001602E2">
            <w:r>
              <w:lastRenderedPageBreak/>
              <w:t>Transition Assessment and Planning Guide</w:t>
            </w:r>
          </w:p>
        </w:tc>
        <w:tc>
          <w:tcPr>
            <w:tcW w:w="3600" w:type="dxa"/>
            <w:shd w:val="clear" w:color="auto" w:fill="FFFFFF" w:themeFill="background1"/>
          </w:tcPr>
          <w:p w14:paraId="510C3073" w14:textId="0C865E40" w:rsidR="00D624F2" w:rsidRDefault="00AF442B">
            <w:hyperlink r:id="rId14" w:history="1">
              <w:r w:rsidR="001602E2" w:rsidRPr="00995BE9">
                <w:rPr>
                  <w:rStyle w:val="Hyperlink"/>
                </w:rPr>
                <w:t>http://ruralinstitute.umt.edu/transition/forms_tools.asp</w:t>
              </w:r>
            </w:hyperlink>
          </w:p>
          <w:p w14:paraId="01932D5D" w14:textId="2533D8AD" w:rsidR="001602E2" w:rsidRDefault="001602E2"/>
        </w:tc>
        <w:tc>
          <w:tcPr>
            <w:tcW w:w="6475" w:type="dxa"/>
            <w:shd w:val="clear" w:color="auto" w:fill="FFFFFF" w:themeFill="background1"/>
          </w:tcPr>
          <w:p w14:paraId="064001F6" w14:textId="74380E92" w:rsidR="00D624F2" w:rsidRDefault="001602E2">
            <w:r>
              <w:t xml:space="preserve">This tool is a student-centered guide to assist youth, their families and support staff to conceptualize and plan for post-secondary transition.   </w:t>
            </w:r>
          </w:p>
        </w:tc>
      </w:tr>
      <w:tr w:rsidR="001602E2" w14:paraId="378871F7" w14:textId="77777777" w:rsidTr="002A7883">
        <w:tc>
          <w:tcPr>
            <w:tcW w:w="2875" w:type="dxa"/>
            <w:shd w:val="clear" w:color="auto" w:fill="FFFFFF" w:themeFill="background1"/>
          </w:tcPr>
          <w:p w14:paraId="46DA8DD6" w14:textId="77777777" w:rsidR="001602E2" w:rsidRDefault="001602E2"/>
        </w:tc>
        <w:tc>
          <w:tcPr>
            <w:tcW w:w="3600" w:type="dxa"/>
            <w:shd w:val="clear" w:color="auto" w:fill="FFFFFF" w:themeFill="background1"/>
          </w:tcPr>
          <w:p w14:paraId="4980161F" w14:textId="77777777" w:rsidR="001602E2" w:rsidRDefault="001602E2"/>
        </w:tc>
        <w:tc>
          <w:tcPr>
            <w:tcW w:w="6475" w:type="dxa"/>
            <w:shd w:val="clear" w:color="auto" w:fill="FFFFFF" w:themeFill="background1"/>
          </w:tcPr>
          <w:p w14:paraId="51DD72C3" w14:textId="77777777" w:rsidR="001602E2" w:rsidRDefault="001602E2"/>
        </w:tc>
      </w:tr>
      <w:tr w:rsidR="009A0C67" w14:paraId="1DC2C911" w14:textId="77777777" w:rsidTr="00342A5B">
        <w:tc>
          <w:tcPr>
            <w:tcW w:w="12950" w:type="dxa"/>
            <w:gridSpan w:val="3"/>
            <w:shd w:val="clear" w:color="auto" w:fill="F2F2F2" w:themeFill="background1" w:themeFillShade="F2"/>
          </w:tcPr>
          <w:p w14:paraId="76E3D72D" w14:textId="600032D8" w:rsidR="0000769C" w:rsidRPr="00342A5B" w:rsidRDefault="00D624F2" w:rsidP="0000769C">
            <w:pPr>
              <w:rPr>
                <w:b/>
              </w:rPr>
            </w:pPr>
            <w:r w:rsidRPr="0000769C">
              <w:rPr>
                <w:b/>
                <w:sz w:val="24"/>
                <w:szCs w:val="24"/>
              </w:rPr>
              <w:t xml:space="preserve">Classroom </w:t>
            </w:r>
            <w:r w:rsidR="009A0C67" w:rsidRPr="0000769C">
              <w:rPr>
                <w:b/>
                <w:sz w:val="24"/>
                <w:szCs w:val="24"/>
              </w:rPr>
              <w:t xml:space="preserve">Supports </w:t>
            </w:r>
            <w:r w:rsidR="00FE5B3C" w:rsidRPr="0000769C">
              <w:rPr>
                <w:b/>
                <w:sz w:val="24"/>
                <w:szCs w:val="24"/>
              </w:rPr>
              <w:t>by</w:t>
            </w:r>
            <w:r w:rsidR="009A0C67" w:rsidRPr="0000769C">
              <w:rPr>
                <w:b/>
                <w:sz w:val="24"/>
                <w:szCs w:val="24"/>
              </w:rPr>
              <w:t xml:space="preserve"> Pre-ETS Category</w:t>
            </w:r>
          </w:p>
        </w:tc>
      </w:tr>
      <w:tr w:rsidR="009A0C67" w14:paraId="5B215581" w14:textId="77777777" w:rsidTr="00342A5B">
        <w:tc>
          <w:tcPr>
            <w:tcW w:w="12950" w:type="dxa"/>
            <w:gridSpan w:val="3"/>
            <w:shd w:val="clear" w:color="auto" w:fill="00B0F0"/>
          </w:tcPr>
          <w:p w14:paraId="54A8646C" w14:textId="77777777" w:rsidR="009A0C67" w:rsidRPr="009A0C67" w:rsidRDefault="009A0C67">
            <w:pPr>
              <w:rPr>
                <w:b/>
                <w:sz w:val="24"/>
                <w:szCs w:val="24"/>
              </w:rPr>
            </w:pPr>
            <w:r w:rsidRPr="009A0C67">
              <w:rPr>
                <w:b/>
                <w:sz w:val="24"/>
                <w:szCs w:val="24"/>
              </w:rPr>
              <w:t xml:space="preserve">1. Job Exploration Counseling </w:t>
            </w:r>
          </w:p>
        </w:tc>
      </w:tr>
      <w:tr w:rsidR="003F3FF3" w14:paraId="496EF7F1" w14:textId="77777777" w:rsidTr="002A7883">
        <w:tc>
          <w:tcPr>
            <w:tcW w:w="2875" w:type="dxa"/>
          </w:tcPr>
          <w:p w14:paraId="7BCF2A7E" w14:textId="77777777" w:rsidR="000569DA" w:rsidRPr="00941A74" w:rsidRDefault="000569DA" w:rsidP="000569DA">
            <w:pPr>
              <w:pStyle w:val="NormalWeb"/>
              <w:rPr>
                <w:rFonts w:asciiTheme="minorHAnsi" w:hAnsiTheme="minorHAnsi" w:cs="Tahoma"/>
                <w:b/>
                <w:color w:val="000000"/>
                <w:sz w:val="22"/>
                <w:szCs w:val="22"/>
              </w:rPr>
            </w:pPr>
            <w:r w:rsidRPr="00941A74">
              <w:rPr>
                <w:rStyle w:val="Strong"/>
                <w:rFonts w:asciiTheme="minorHAnsi" w:hAnsiTheme="minorHAnsi" w:cs="Tahoma"/>
                <w:b w:val="0"/>
                <w:color w:val="000000"/>
                <w:sz w:val="22"/>
                <w:szCs w:val="22"/>
              </w:rPr>
              <w:t>Multiple Intelligence Theory</w:t>
            </w:r>
          </w:p>
          <w:p w14:paraId="28DA20A3" w14:textId="77777777" w:rsidR="003F3FF3" w:rsidRPr="00941A74" w:rsidRDefault="003F3FF3"/>
        </w:tc>
        <w:tc>
          <w:tcPr>
            <w:tcW w:w="3600" w:type="dxa"/>
          </w:tcPr>
          <w:p w14:paraId="5EE8D458" w14:textId="77777777" w:rsidR="000569DA" w:rsidRPr="00941A74" w:rsidRDefault="00AF442B" w:rsidP="000569DA">
            <w:hyperlink r:id="rId15" w:history="1">
              <w:r w:rsidR="000569DA" w:rsidRPr="00941A74">
                <w:rPr>
                  <w:rStyle w:val="Hyperlink"/>
                </w:rPr>
                <w:t>http://www.lauracandler.com/strategies/multipleintelligences.php</w:t>
              </w:r>
            </w:hyperlink>
          </w:p>
          <w:p w14:paraId="5322E0D5" w14:textId="77777777" w:rsidR="003F3FF3" w:rsidRPr="00941A74" w:rsidRDefault="003F3FF3"/>
        </w:tc>
        <w:tc>
          <w:tcPr>
            <w:tcW w:w="6475" w:type="dxa"/>
          </w:tcPr>
          <w:p w14:paraId="44840FD3" w14:textId="26EB902A" w:rsidR="000569DA" w:rsidRPr="00941A74" w:rsidRDefault="000569DA" w:rsidP="000569DA">
            <w:pPr>
              <w:pStyle w:val="NormalWeb"/>
              <w:rPr>
                <w:rFonts w:asciiTheme="minorHAnsi" w:hAnsiTheme="minorHAnsi" w:cs="Tahoma"/>
                <w:color w:val="000000"/>
                <w:sz w:val="22"/>
                <w:szCs w:val="22"/>
              </w:rPr>
            </w:pPr>
            <w:r w:rsidRPr="00941A74">
              <w:rPr>
                <w:rFonts w:asciiTheme="minorHAnsi" w:hAnsiTheme="minorHAnsi" w:cs="Tahoma"/>
                <w:color w:val="000000"/>
                <w:sz w:val="22"/>
                <w:szCs w:val="22"/>
              </w:rPr>
              <w:t xml:space="preserve">Helping students understand how each of us have individual skills and that there are a variety of ways for us to demonstration intelligences and skills. This site by Laura Candler has a number of resources, including an easy to use Multiple Intelligence assessment and ideas for using that information to research careers that require those skills. </w:t>
            </w:r>
          </w:p>
          <w:p w14:paraId="7C18407D" w14:textId="77777777" w:rsidR="003F3FF3" w:rsidRPr="00941A74" w:rsidRDefault="003F3FF3"/>
        </w:tc>
      </w:tr>
      <w:tr w:rsidR="003F3FF3" w14:paraId="771B4C32" w14:textId="77777777" w:rsidTr="002A7883">
        <w:tc>
          <w:tcPr>
            <w:tcW w:w="2875" w:type="dxa"/>
          </w:tcPr>
          <w:p w14:paraId="412AAE32" w14:textId="3C8E6E49" w:rsidR="003F3FF3" w:rsidRDefault="002F29E4" w:rsidP="000569DA">
            <w:r>
              <w:t>Montana Career Information Systems</w:t>
            </w:r>
          </w:p>
        </w:tc>
        <w:tc>
          <w:tcPr>
            <w:tcW w:w="3600" w:type="dxa"/>
          </w:tcPr>
          <w:p w14:paraId="358B414E" w14:textId="0CD69790" w:rsidR="003F3FF3" w:rsidRDefault="00AF442B">
            <w:hyperlink r:id="rId16" w:history="1">
              <w:r w:rsidR="00941A74" w:rsidRPr="004258A7">
                <w:rPr>
                  <w:rStyle w:val="Hyperlink"/>
                </w:rPr>
                <w:t>https://mtcis.intocareers.org/materials/portal/home.html</w:t>
              </w:r>
            </w:hyperlink>
          </w:p>
          <w:p w14:paraId="1D697F3F" w14:textId="073273A5" w:rsidR="00941A74" w:rsidRDefault="00941A74"/>
        </w:tc>
        <w:tc>
          <w:tcPr>
            <w:tcW w:w="6475" w:type="dxa"/>
          </w:tcPr>
          <w:p w14:paraId="73434782" w14:textId="2346EB2F" w:rsidR="003F3FF3" w:rsidRDefault="002F29E4" w:rsidP="002F29E4">
            <w:r>
              <w:t xml:space="preserve">MCIS is </w:t>
            </w:r>
            <w:r w:rsidRPr="002F29E4">
              <w:t>home to Montana's Career Resources which provides career development tools and information for everyone from elementary school students to Montana seniors.</w:t>
            </w:r>
            <w:r>
              <w:t xml:space="preserve"> MCIS works in partnership with the U.S. D</w:t>
            </w:r>
            <w:r w:rsidRPr="002F29E4">
              <w:t>e</w:t>
            </w:r>
            <w:r>
              <w:t xml:space="preserve">pt. </w:t>
            </w:r>
            <w:r w:rsidRPr="002F29E4">
              <w:t xml:space="preserve">of Labor's Bureau of Labor Statistics, and Employment &amp; Training Administration to develop labor market information about Montana and the United States that businesses, educators, government agencies, researchers, students and others find useful. </w:t>
            </w:r>
          </w:p>
        </w:tc>
      </w:tr>
      <w:tr w:rsidR="003F3FF3" w14:paraId="185921AE" w14:textId="77777777" w:rsidTr="002A7883">
        <w:tc>
          <w:tcPr>
            <w:tcW w:w="2875" w:type="dxa"/>
          </w:tcPr>
          <w:p w14:paraId="6D4711AC" w14:textId="232FBF76" w:rsidR="003F3FF3" w:rsidRDefault="00941A74">
            <w:r>
              <w:t>Project Access</w:t>
            </w:r>
          </w:p>
        </w:tc>
        <w:tc>
          <w:tcPr>
            <w:tcW w:w="3600" w:type="dxa"/>
          </w:tcPr>
          <w:p w14:paraId="529E8C2F" w14:textId="7D8EEDCE" w:rsidR="003F3FF3" w:rsidRDefault="00AF442B">
            <w:hyperlink r:id="rId17" w:history="1">
              <w:r w:rsidR="00941A74" w:rsidRPr="004258A7">
                <w:rPr>
                  <w:rStyle w:val="Hyperlink"/>
                </w:rPr>
                <w:t>http://projectaccess.uoregon.edu/</w:t>
              </w:r>
            </w:hyperlink>
          </w:p>
          <w:p w14:paraId="5A7DE8E5" w14:textId="2FB87649" w:rsidR="00941A74" w:rsidRDefault="00941A74"/>
        </w:tc>
        <w:tc>
          <w:tcPr>
            <w:tcW w:w="6475" w:type="dxa"/>
          </w:tcPr>
          <w:p w14:paraId="2B5C8B4F" w14:textId="30263CF7" w:rsidR="003F3FF3" w:rsidRDefault="00941A74">
            <w:r w:rsidRPr="00941A74">
              <w:t>The purpose of Project Access is to establish, implement, and evaluate a multi-level interagency transition model in the state of Oregon. The overall goal of the project is to improve and extend transition services to a greater number of youth with disabilities through a model program that brings vocational rehabilitation counselors (VRC's) into high school settings.</w:t>
            </w:r>
          </w:p>
        </w:tc>
      </w:tr>
      <w:tr w:rsidR="003F3FF3" w14:paraId="3F490119" w14:textId="77777777" w:rsidTr="002A7883">
        <w:tc>
          <w:tcPr>
            <w:tcW w:w="2875" w:type="dxa"/>
          </w:tcPr>
          <w:p w14:paraId="2E6DCABB" w14:textId="77777777" w:rsidR="003F3FF3" w:rsidRDefault="003F3FF3"/>
        </w:tc>
        <w:tc>
          <w:tcPr>
            <w:tcW w:w="3600" w:type="dxa"/>
          </w:tcPr>
          <w:p w14:paraId="45073C74" w14:textId="77777777" w:rsidR="003F3FF3" w:rsidRDefault="003F3FF3"/>
        </w:tc>
        <w:tc>
          <w:tcPr>
            <w:tcW w:w="6475" w:type="dxa"/>
          </w:tcPr>
          <w:p w14:paraId="41A703C9" w14:textId="77777777" w:rsidR="003F3FF3" w:rsidRDefault="003F3FF3"/>
        </w:tc>
      </w:tr>
      <w:tr w:rsidR="009A0C67" w14:paraId="3BDBF026" w14:textId="77777777" w:rsidTr="00342A5B">
        <w:tc>
          <w:tcPr>
            <w:tcW w:w="12950" w:type="dxa"/>
            <w:gridSpan w:val="3"/>
            <w:shd w:val="clear" w:color="auto" w:fill="00B050"/>
          </w:tcPr>
          <w:p w14:paraId="6EBBF612" w14:textId="77777777" w:rsidR="009A0C67" w:rsidRPr="009A0C67" w:rsidRDefault="009A0C67">
            <w:pPr>
              <w:rPr>
                <w:b/>
                <w:sz w:val="24"/>
                <w:szCs w:val="24"/>
              </w:rPr>
            </w:pPr>
            <w:r w:rsidRPr="009A0C67">
              <w:rPr>
                <w:b/>
                <w:sz w:val="24"/>
                <w:szCs w:val="24"/>
              </w:rPr>
              <w:t>2. Work-based Learning Experiences</w:t>
            </w:r>
          </w:p>
        </w:tc>
      </w:tr>
      <w:tr w:rsidR="003F3FF3" w14:paraId="0D32360C" w14:textId="77777777" w:rsidTr="002A7883">
        <w:tc>
          <w:tcPr>
            <w:tcW w:w="2875" w:type="dxa"/>
          </w:tcPr>
          <w:p w14:paraId="7F98B2F3" w14:textId="372B44CC" w:rsidR="003F3FF3" w:rsidRDefault="00FC0FBB">
            <w:r>
              <w:t>Center on Transition to Employment for Youth with Disabilities</w:t>
            </w:r>
          </w:p>
        </w:tc>
        <w:tc>
          <w:tcPr>
            <w:tcW w:w="3600" w:type="dxa"/>
          </w:tcPr>
          <w:p w14:paraId="1E403B76" w14:textId="0F11C5CA" w:rsidR="003F3FF3" w:rsidRDefault="00AF442B">
            <w:hyperlink r:id="rId18" w:history="1">
              <w:r w:rsidR="00FC0FBB" w:rsidRPr="004258A7">
                <w:rPr>
                  <w:rStyle w:val="Hyperlink"/>
                </w:rPr>
                <w:t>http://www.transitiontoemployment.org/employment.html</w:t>
              </w:r>
            </w:hyperlink>
          </w:p>
          <w:p w14:paraId="2016099E" w14:textId="2AE4954C" w:rsidR="00FC0FBB" w:rsidRDefault="00FC0FBB"/>
        </w:tc>
        <w:tc>
          <w:tcPr>
            <w:tcW w:w="6475" w:type="dxa"/>
          </w:tcPr>
          <w:p w14:paraId="087BB743" w14:textId="36A56F97" w:rsidR="003F3FF3" w:rsidRDefault="00FC0FBB" w:rsidP="00FC0FBB">
            <w:r>
              <w:t xml:space="preserve">This toolkit is </w:t>
            </w:r>
            <w:r w:rsidRPr="00FC0FBB">
              <w:t xml:space="preserve">designed to help people in the field </w:t>
            </w:r>
            <w:r>
              <w:t>support students with disabilities in a seamless post-secondary transition</w:t>
            </w:r>
            <w:r w:rsidRPr="00FC0FBB">
              <w:t>. The purpose of the </w:t>
            </w:r>
            <w:r w:rsidRPr="00FC0FBB">
              <w:rPr>
                <w:bCs/>
              </w:rPr>
              <w:t>Center on Transition to Employment for Youth with Disabilities</w:t>
            </w:r>
            <w:r w:rsidRPr="00FC0FBB">
              <w:t xml:space="preserve"> is to identify, research, and widely disseminate evidence-based practices that contribute to successful employment for youth </w:t>
            </w:r>
            <w:r w:rsidRPr="00FC0FBB">
              <w:lastRenderedPageBreak/>
              <w:t>with disabilities making the transition from school to adult employment.</w:t>
            </w:r>
            <w:r>
              <w:t xml:space="preserve"> </w:t>
            </w:r>
          </w:p>
        </w:tc>
      </w:tr>
      <w:tr w:rsidR="003F3FF3" w14:paraId="4091A7AD" w14:textId="77777777" w:rsidTr="002A7883">
        <w:tc>
          <w:tcPr>
            <w:tcW w:w="2875" w:type="dxa"/>
          </w:tcPr>
          <w:p w14:paraId="5A502062" w14:textId="489A421B" w:rsidR="003F3FF3" w:rsidRDefault="00532840" w:rsidP="00532840">
            <w:r>
              <w:lastRenderedPageBreak/>
              <w:t>WBL e</w:t>
            </w:r>
            <w:r w:rsidR="002825EC">
              <w:t xml:space="preserve">xperience </w:t>
            </w:r>
            <w:r>
              <w:t xml:space="preserve">summary and self-reflection </w:t>
            </w:r>
            <w:r w:rsidR="002825EC">
              <w:t xml:space="preserve"> </w:t>
            </w:r>
          </w:p>
        </w:tc>
        <w:tc>
          <w:tcPr>
            <w:tcW w:w="3600" w:type="dxa"/>
          </w:tcPr>
          <w:p w14:paraId="7EF62D91" w14:textId="2559B1A3" w:rsidR="00532840" w:rsidRDefault="00AF442B">
            <w:hyperlink r:id="rId19" w:history="1">
              <w:r w:rsidR="00532840" w:rsidRPr="004258A7">
                <w:rPr>
                  <w:rStyle w:val="Hyperlink"/>
                </w:rPr>
                <w:t>http://ruralinstitute.umt.edu/transition/forms_tools.asp</w:t>
              </w:r>
            </w:hyperlink>
          </w:p>
          <w:p w14:paraId="6CC7FA26" w14:textId="77777777" w:rsidR="00532840" w:rsidRDefault="00532840"/>
          <w:p w14:paraId="0130B5C4" w14:textId="4B14FB36" w:rsidR="003F3FF3" w:rsidRDefault="00AF442B">
            <w:hyperlink r:id="rId20" w:history="1">
              <w:r w:rsidR="002825EC" w:rsidRPr="004258A7">
                <w:rPr>
                  <w:rStyle w:val="Hyperlink"/>
                </w:rPr>
                <w:t>http://montanayouthtransitions.org/transition-ieps-2/</w:t>
              </w:r>
            </w:hyperlink>
          </w:p>
          <w:p w14:paraId="4EF72804" w14:textId="2299CBEB" w:rsidR="002825EC" w:rsidRDefault="002825EC"/>
        </w:tc>
        <w:tc>
          <w:tcPr>
            <w:tcW w:w="6475" w:type="dxa"/>
          </w:tcPr>
          <w:p w14:paraId="7AC7082D" w14:textId="41384C90" w:rsidR="003F3FF3" w:rsidRDefault="002825EC" w:rsidP="00532840">
            <w:r>
              <w:t>Forms to help students</w:t>
            </w:r>
            <w:r w:rsidR="00532840">
              <w:t xml:space="preserve"> summarize and </w:t>
            </w:r>
            <w:r>
              <w:t xml:space="preserve">self-reflect their WBL experience.   </w:t>
            </w:r>
          </w:p>
        </w:tc>
      </w:tr>
      <w:tr w:rsidR="003F3FF3" w14:paraId="2B6541C1" w14:textId="77777777" w:rsidTr="002A7883">
        <w:tc>
          <w:tcPr>
            <w:tcW w:w="2875" w:type="dxa"/>
          </w:tcPr>
          <w:p w14:paraId="2EDA5F1B" w14:textId="72D1323F" w:rsidR="003F3FF3" w:rsidRDefault="007F3050">
            <w:r>
              <w:t>Customized</w:t>
            </w:r>
            <w:r w:rsidR="00E336D4">
              <w:t xml:space="preserve"> and Self </w:t>
            </w:r>
            <w:r>
              <w:t xml:space="preserve"> Employment</w:t>
            </w:r>
          </w:p>
        </w:tc>
        <w:tc>
          <w:tcPr>
            <w:tcW w:w="3600" w:type="dxa"/>
          </w:tcPr>
          <w:p w14:paraId="1782C605" w14:textId="11EF6EE6" w:rsidR="003F3FF3" w:rsidRDefault="00AF442B">
            <w:hyperlink r:id="rId21" w:history="1">
              <w:r w:rsidR="007F3050" w:rsidRPr="004258A7">
                <w:rPr>
                  <w:rStyle w:val="Hyperlink"/>
                </w:rPr>
                <w:t>http://ruralinstitute.umt.edu/transition/careerplanning.asp</w:t>
              </w:r>
            </w:hyperlink>
          </w:p>
          <w:p w14:paraId="0A7F5EB0" w14:textId="4DF6FE33" w:rsidR="007F3050" w:rsidRDefault="007F3050"/>
        </w:tc>
        <w:tc>
          <w:tcPr>
            <w:tcW w:w="6475" w:type="dxa"/>
          </w:tcPr>
          <w:p w14:paraId="53602B2D" w14:textId="10FDC088" w:rsidR="003F3FF3" w:rsidRDefault="007F3050" w:rsidP="00E336D4">
            <w:r>
              <w:t>Access the Rural Institute for Inclusive Communities to learn more about Customized</w:t>
            </w:r>
            <w:r w:rsidR="00E336D4">
              <w:t xml:space="preserve"> and Self-Employment opportunities to meet student needs.    </w:t>
            </w:r>
            <w:r>
              <w:t xml:space="preserve">  </w:t>
            </w:r>
          </w:p>
        </w:tc>
      </w:tr>
      <w:tr w:rsidR="003F3FF3" w14:paraId="6BC14BFC" w14:textId="77777777" w:rsidTr="002A7883">
        <w:tc>
          <w:tcPr>
            <w:tcW w:w="2875" w:type="dxa"/>
          </w:tcPr>
          <w:p w14:paraId="66984BDF" w14:textId="77777777" w:rsidR="003F3FF3" w:rsidRDefault="003F3FF3"/>
        </w:tc>
        <w:tc>
          <w:tcPr>
            <w:tcW w:w="3600" w:type="dxa"/>
          </w:tcPr>
          <w:p w14:paraId="7BA3A424" w14:textId="77777777" w:rsidR="003F3FF3" w:rsidRDefault="003F3FF3"/>
        </w:tc>
        <w:tc>
          <w:tcPr>
            <w:tcW w:w="6475" w:type="dxa"/>
          </w:tcPr>
          <w:p w14:paraId="4FDCFC21" w14:textId="77777777" w:rsidR="003F3FF3" w:rsidRDefault="003F3FF3"/>
        </w:tc>
      </w:tr>
      <w:tr w:rsidR="009A0C67" w14:paraId="4A30AB9A" w14:textId="77777777" w:rsidTr="00342A5B">
        <w:tc>
          <w:tcPr>
            <w:tcW w:w="12950" w:type="dxa"/>
            <w:gridSpan w:val="3"/>
            <w:shd w:val="clear" w:color="auto" w:fill="7030A0"/>
          </w:tcPr>
          <w:p w14:paraId="718D061E" w14:textId="77777777" w:rsidR="009A0C67" w:rsidRPr="009A0C67" w:rsidRDefault="009A0C67">
            <w:pPr>
              <w:rPr>
                <w:b/>
                <w:sz w:val="24"/>
                <w:szCs w:val="24"/>
              </w:rPr>
            </w:pPr>
            <w:r w:rsidRPr="009A0C67">
              <w:rPr>
                <w:b/>
                <w:sz w:val="24"/>
                <w:szCs w:val="24"/>
              </w:rPr>
              <w:t xml:space="preserve">3. Counseling for Post-Secondary Education </w:t>
            </w:r>
          </w:p>
        </w:tc>
      </w:tr>
      <w:tr w:rsidR="009A0C67" w14:paraId="66B293BF" w14:textId="77777777" w:rsidTr="002A7883">
        <w:tc>
          <w:tcPr>
            <w:tcW w:w="2875" w:type="dxa"/>
          </w:tcPr>
          <w:p w14:paraId="483412C7" w14:textId="19AE0895" w:rsidR="009A0C67" w:rsidRDefault="00E1588D">
            <w:r>
              <w:t>Making My Way Through College</w:t>
            </w:r>
          </w:p>
        </w:tc>
        <w:tc>
          <w:tcPr>
            <w:tcW w:w="3600" w:type="dxa"/>
          </w:tcPr>
          <w:p w14:paraId="25A00C6F" w14:textId="074DF962" w:rsidR="009A0C67" w:rsidRDefault="00AF442B">
            <w:hyperlink r:id="rId22" w:history="1">
              <w:r w:rsidR="00E1588D" w:rsidRPr="000979E1">
                <w:rPr>
                  <w:rStyle w:val="Hyperlink"/>
                </w:rPr>
                <w:t>http://www.ncwd-youth.info/postsecondaryguide</w:t>
              </w:r>
            </w:hyperlink>
          </w:p>
          <w:p w14:paraId="10C14259" w14:textId="4CB70DFA" w:rsidR="00E1588D" w:rsidRDefault="00E1588D"/>
        </w:tc>
        <w:tc>
          <w:tcPr>
            <w:tcW w:w="6475" w:type="dxa"/>
          </w:tcPr>
          <w:p w14:paraId="611B12F1" w14:textId="097F2D21" w:rsidR="009A0C67" w:rsidRDefault="00D624F2">
            <w:r w:rsidRPr="00D624F2">
              <w:t>Making My Way through College is a guide for any student pursuing a degree or other type of credential (e.g., certification, license) at a two-year or four-year community college, college, or university. You will find information on a variety of topics relevant to preparing for and succeeding in college and transitioning from college into the world of work. Much of the information provided is relevant to all students, but the primary focus of the guide is on navigating the college experience for students with disabilities or those who think they may have a disability.</w:t>
            </w:r>
          </w:p>
        </w:tc>
      </w:tr>
      <w:tr w:rsidR="009A0C67" w14:paraId="60930A7B" w14:textId="77777777" w:rsidTr="002A7883">
        <w:tc>
          <w:tcPr>
            <w:tcW w:w="2875" w:type="dxa"/>
          </w:tcPr>
          <w:p w14:paraId="6BDAEB50" w14:textId="73A5624C" w:rsidR="009A0C67" w:rsidRDefault="0000769C" w:rsidP="0000769C">
            <w:r>
              <w:t xml:space="preserve">Montana Colleges: Guide to Higher Education </w:t>
            </w:r>
          </w:p>
        </w:tc>
        <w:tc>
          <w:tcPr>
            <w:tcW w:w="3600" w:type="dxa"/>
          </w:tcPr>
          <w:p w14:paraId="34356C0E" w14:textId="6EDEA574" w:rsidR="00E1588D" w:rsidRDefault="00AF442B" w:rsidP="00D624F2">
            <w:hyperlink r:id="rId23" w:history="1">
              <w:r w:rsidR="0000769C" w:rsidRPr="007F2954">
                <w:rPr>
                  <w:rStyle w:val="Hyperlink"/>
                </w:rPr>
                <w:t>http://www.montanacolleges.com/</w:t>
              </w:r>
            </w:hyperlink>
          </w:p>
          <w:p w14:paraId="48824F9A" w14:textId="104EA5A5" w:rsidR="0000769C" w:rsidRDefault="0000769C" w:rsidP="00D624F2"/>
        </w:tc>
        <w:tc>
          <w:tcPr>
            <w:tcW w:w="6475" w:type="dxa"/>
          </w:tcPr>
          <w:p w14:paraId="4A34A461" w14:textId="7B9AA949" w:rsidR="009A0C67" w:rsidRDefault="0000769C" w:rsidP="0000769C">
            <w:r>
              <w:t xml:space="preserve">This interactive Guidebook helps students research and organize different program information available across the state.  It offers a step-by-step process for all students and activities can be modified to meet student needs.  </w:t>
            </w:r>
          </w:p>
        </w:tc>
      </w:tr>
      <w:tr w:rsidR="009A0C67" w14:paraId="1AF2F6AC" w14:textId="77777777" w:rsidTr="002A7883">
        <w:tc>
          <w:tcPr>
            <w:tcW w:w="2875" w:type="dxa"/>
          </w:tcPr>
          <w:p w14:paraId="04060A72" w14:textId="181C8337" w:rsidR="009A0C67" w:rsidRDefault="0000769C">
            <w:r>
              <w:t>Think College! College Options for People with Intellectual Disabilities</w:t>
            </w:r>
          </w:p>
        </w:tc>
        <w:tc>
          <w:tcPr>
            <w:tcW w:w="3600" w:type="dxa"/>
          </w:tcPr>
          <w:p w14:paraId="51CB7E3D" w14:textId="1E57D855" w:rsidR="009A0C67" w:rsidRDefault="00AF442B" w:rsidP="0000769C">
            <w:hyperlink r:id="rId24" w:history="1">
              <w:r w:rsidR="0000769C" w:rsidRPr="007F2954">
                <w:rPr>
                  <w:rStyle w:val="Hyperlink"/>
                </w:rPr>
                <w:t>http://www.thinkcollege.net/</w:t>
              </w:r>
            </w:hyperlink>
          </w:p>
          <w:p w14:paraId="76CB7141" w14:textId="710E6F29" w:rsidR="0000769C" w:rsidRDefault="0000769C" w:rsidP="0000769C"/>
        </w:tc>
        <w:tc>
          <w:tcPr>
            <w:tcW w:w="6475" w:type="dxa"/>
          </w:tcPr>
          <w:p w14:paraId="75C4D381" w14:textId="3515008E" w:rsidR="009A0C67" w:rsidRDefault="0000769C">
            <w:r w:rsidRPr="0000769C">
              <w:rPr>
                <w:bCs/>
              </w:rPr>
              <w:t>Think College</w:t>
            </w:r>
            <w:r w:rsidRPr="0000769C">
              <w:t> is a national organization dedicated to developing, expanding, and improving inclusive higher education options for people with </w:t>
            </w:r>
            <w:hyperlink r:id="rId25" w:anchor="40" w:tooltip="Intellectual disability is a disability characterized by significant limitations both in intellectual functioning and in adaptive behavior as expressed in conceptual, social, and practical adaptive skills. This disability originates before the age of 18. Intel" w:history="1">
              <w:r w:rsidRPr="0000769C">
                <w:rPr>
                  <w:rStyle w:val="Hyperlink"/>
                  <w:color w:val="auto"/>
                  <w:u w:val="none"/>
                </w:rPr>
                <w:t>intellectual disability</w:t>
              </w:r>
            </w:hyperlink>
            <w:r w:rsidRPr="0000769C">
              <w:t>. With a commitment to equity and excellence, Think College supports evidence-based and student centered research and practice by </w:t>
            </w:r>
            <w:r w:rsidRPr="0000769C">
              <w:rPr>
                <w:bCs/>
              </w:rPr>
              <w:t>generating and sharing knowledge</w:t>
            </w:r>
            <w:r w:rsidRPr="0000769C">
              <w:t>, </w:t>
            </w:r>
            <w:r w:rsidRPr="0000769C">
              <w:rPr>
                <w:bCs/>
              </w:rPr>
              <w:t>guiding institutional change</w:t>
            </w:r>
            <w:r w:rsidRPr="0000769C">
              <w:t>, </w:t>
            </w:r>
            <w:r w:rsidRPr="0000769C">
              <w:rPr>
                <w:bCs/>
              </w:rPr>
              <w:t>informing public policy</w:t>
            </w:r>
            <w:r w:rsidRPr="0000769C">
              <w:t>, and </w:t>
            </w:r>
            <w:r w:rsidRPr="0000769C">
              <w:rPr>
                <w:bCs/>
              </w:rPr>
              <w:t>engaging with students, professionals and families</w:t>
            </w:r>
            <w:r w:rsidRPr="0000769C">
              <w:t>.</w:t>
            </w:r>
          </w:p>
        </w:tc>
      </w:tr>
      <w:tr w:rsidR="0000769C" w14:paraId="0E65D53E" w14:textId="77777777" w:rsidTr="002A7883">
        <w:tc>
          <w:tcPr>
            <w:tcW w:w="2875" w:type="dxa"/>
          </w:tcPr>
          <w:p w14:paraId="49C8E344" w14:textId="1FBDC852" w:rsidR="0000769C" w:rsidRDefault="0000769C">
            <w:proofErr w:type="spellStart"/>
            <w:r>
              <w:lastRenderedPageBreak/>
              <w:t>Movin</w:t>
            </w:r>
            <w:proofErr w:type="spellEnd"/>
            <w:r>
              <w:t>’ On in Montana</w:t>
            </w:r>
          </w:p>
        </w:tc>
        <w:tc>
          <w:tcPr>
            <w:tcW w:w="3600" w:type="dxa"/>
          </w:tcPr>
          <w:p w14:paraId="01EE8B27" w14:textId="3B43BFBD" w:rsidR="0000769C" w:rsidRDefault="00AF442B" w:rsidP="0000769C">
            <w:hyperlink r:id="rId26" w:history="1">
              <w:r w:rsidR="0000769C" w:rsidRPr="007F2954">
                <w:rPr>
                  <w:rStyle w:val="Hyperlink"/>
                </w:rPr>
                <w:t>http://www.umt.edu/dss/Transition/</w:t>
              </w:r>
            </w:hyperlink>
          </w:p>
          <w:p w14:paraId="3AC3787A" w14:textId="0431B4B7" w:rsidR="0000769C" w:rsidRDefault="0000769C" w:rsidP="0000769C"/>
        </w:tc>
        <w:tc>
          <w:tcPr>
            <w:tcW w:w="6475" w:type="dxa"/>
          </w:tcPr>
          <w:p w14:paraId="77F1B2D0" w14:textId="7F48203A" w:rsidR="0000769C" w:rsidRPr="0000769C" w:rsidRDefault="00390FB1" w:rsidP="00390FB1">
            <w:pPr>
              <w:rPr>
                <w:bCs/>
              </w:rPr>
            </w:pPr>
            <w:r>
              <w:rPr>
                <w:bCs/>
              </w:rPr>
              <w:t xml:space="preserve">A 4-day on-campus experience for high school students with disabilities.  The program offers seminars, campus tour, and community activities.  Topics covered include self-advocacy, career-college interest exploration, accommodations, student services, soft skill/communication instruction. </w:t>
            </w:r>
          </w:p>
        </w:tc>
      </w:tr>
      <w:tr w:rsidR="001A6D8F" w14:paraId="0F53A8E5" w14:textId="77777777" w:rsidTr="002A7883">
        <w:tc>
          <w:tcPr>
            <w:tcW w:w="2875" w:type="dxa"/>
          </w:tcPr>
          <w:p w14:paraId="0A0FC5D1" w14:textId="77777777" w:rsidR="001A6D8F" w:rsidRDefault="001A6D8F"/>
        </w:tc>
        <w:tc>
          <w:tcPr>
            <w:tcW w:w="3600" w:type="dxa"/>
          </w:tcPr>
          <w:p w14:paraId="1A24A145" w14:textId="77777777" w:rsidR="001A6D8F" w:rsidRDefault="001A6D8F" w:rsidP="0000769C"/>
        </w:tc>
        <w:tc>
          <w:tcPr>
            <w:tcW w:w="6475" w:type="dxa"/>
          </w:tcPr>
          <w:p w14:paraId="0A4B8C57" w14:textId="77777777" w:rsidR="001A6D8F" w:rsidRDefault="001A6D8F" w:rsidP="00390FB1">
            <w:pPr>
              <w:rPr>
                <w:bCs/>
              </w:rPr>
            </w:pPr>
          </w:p>
        </w:tc>
      </w:tr>
      <w:tr w:rsidR="009A0C67" w14:paraId="6C594E18" w14:textId="77777777" w:rsidTr="00342A5B">
        <w:tc>
          <w:tcPr>
            <w:tcW w:w="12950" w:type="dxa"/>
            <w:gridSpan w:val="3"/>
            <w:shd w:val="clear" w:color="auto" w:fill="92D050"/>
          </w:tcPr>
          <w:p w14:paraId="6C64A6A1" w14:textId="77777777" w:rsidR="009A0C67" w:rsidRPr="009A0C67" w:rsidRDefault="009A0C67">
            <w:pPr>
              <w:rPr>
                <w:b/>
                <w:sz w:val="24"/>
                <w:szCs w:val="24"/>
              </w:rPr>
            </w:pPr>
            <w:r w:rsidRPr="009A0C67">
              <w:rPr>
                <w:b/>
                <w:sz w:val="24"/>
                <w:szCs w:val="24"/>
              </w:rPr>
              <w:t>4. Workplace Readiness Training</w:t>
            </w:r>
          </w:p>
        </w:tc>
      </w:tr>
      <w:tr w:rsidR="009A0C67" w14:paraId="02795895" w14:textId="77777777" w:rsidTr="002A7883">
        <w:tc>
          <w:tcPr>
            <w:tcW w:w="2875" w:type="dxa"/>
          </w:tcPr>
          <w:p w14:paraId="7C339686" w14:textId="77777777" w:rsidR="00D624F2" w:rsidRPr="00A13062" w:rsidRDefault="00D624F2" w:rsidP="00D624F2">
            <w:pPr>
              <w:pStyle w:val="NormalWeb"/>
              <w:rPr>
                <w:rFonts w:asciiTheme="minorHAnsi" w:hAnsiTheme="minorHAnsi" w:cs="Tahoma"/>
                <w:b/>
                <w:color w:val="000000"/>
                <w:sz w:val="22"/>
                <w:szCs w:val="22"/>
              </w:rPr>
            </w:pPr>
            <w:r w:rsidRPr="00A13062">
              <w:rPr>
                <w:rStyle w:val="Strong"/>
                <w:rFonts w:asciiTheme="minorHAnsi" w:hAnsiTheme="minorHAnsi" w:cs="Tahoma"/>
                <w:b w:val="0"/>
                <w:color w:val="000000"/>
                <w:sz w:val="22"/>
                <w:szCs w:val="22"/>
              </w:rPr>
              <w:t>MYT Soft Skills Curriculum</w:t>
            </w:r>
          </w:p>
          <w:p w14:paraId="3915E63B" w14:textId="77777777" w:rsidR="009A0C67" w:rsidRDefault="009A0C67" w:rsidP="00D624F2">
            <w:pPr>
              <w:jc w:val="center"/>
            </w:pPr>
          </w:p>
        </w:tc>
        <w:tc>
          <w:tcPr>
            <w:tcW w:w="3600" w:type="dxa"/>
          </w:tcPr>
          <w:p w14:paraId="0BD9D36C" w14:textId="07B880C0" w:rsidR="009A0C67" w:rsidRDefault="00AF442B">
            <w:hyperlink r:id="rId27" w:history="1">
              <w:r w:rsidR="00532840" w:rsidRPr="004258A7">
                <w:rPr>
                  <w:rStyle w:val="Hyperlink"/>
                </w:rPr>
                <w:t>http://montanayouthtransitions.org/mytransitions-soft-skills-curriculum/</w:t>
              </w:r>
            </w:hyperlink>
          </w:p>
          <w:p w14:paraId="182E347C" w14:textId="3CFB32D4" w:rsidR="00532840" w:rsidRDefault="00532840"/>
        </w:tc>
        <w:tc>
          <w:tcPr>
            <w:tcW w:w="6475" w:type="dxa"/>
          </w:tcPr>
          <w:p w14:paraId="3FA044BA" w14:textId="64C79B4C" w:rsidR="009A0C67" w:rsidRDefault="00D624F2" w:rsidP="00D624F2">
            <w:pPr>
              <w:tabs>
                <w:tab w:val="left" w:pos="1075"/>
              </w:tabs>
            </w:pPr>
            <w:r w:rsidRPr="00D624F2">
              <w:t>This free curriculum, specifically designed for youth or young workers, helps teach the importance of Soft Skills in the workplace and why have good people skills are integral to maintaining and prospering in the working world. The curriculum contains lessons on communication, individual and team work ethic, professionalism, using soft skills for applications and interviewing, and more.</w:t>
            </w:r>
          </w:p>
        </w:tc>
      </w:tr>
      <w:tr w:rsidR="009A0C67" w14:paraId="0AE41C21" w14:textId="77777777" w:rsidTr="002A7883">
        <w:tc>
          <w:tcPr>
            <w:tcW w:w="2875" w:type="dxa"/>
          </w:tcPr>
          <w:p w14:paraId="13C3B6A0" w14:textId="715A10DE" w:rsidR="009A0C67" w:rsidRDefault="00532840">
            <w:r>
              <w:t xml:space="preserve">Financial Literacy with Consumer Math </w:t>
            </w:r>
          </w:p>
          <w:p w14:paraId="04480AC6" w14:textId="7152E262" w:rsidR="00532840" w:rsidRDefault="00532840"/>
        </w:tc>
        <w:tc>
          <w:tcPr>
            <w:tcW w:w="3600" w:type="dxa"/>
          </w:tcPr>
          <w:p w14:paraId="266AD362" w14:textId="77777777" w:rsidR="00946AA0" w:rsidRPr="00532840" w:rsidRDefault="00AF442B" w:rsidP="00532840">
            <w:hyperlink r:id="rId28" w:history="1">
              <w:r w:rsidR="00BA4D60" w:rsidRPr="00532840">
                <w:rPr>
                  <w:rStyle w:val="Hyperlink"/>
                </w:rPr>
                <w:t>http://www.consumermath.org/getting_started/getting-started-online-curriculum/getting-started-consumer-math</w:t>
              </w:r>
            </w:hyperlink>
            <w:hyperlink r:id="rId29" w:history="1">
              <w:r w:rsidR="00BA4D60" w:rsidRPr="00532840">
                <w:rPr>
                  <w:rStyle w:val="Hyperlink"/>
                </w:rPr>
                <w:t>/</w:t>
              </w:r>
            </w:hyperlink>
            <w:r w:rsidR="00BA4D60" w:rsidRPr="00532840">
              <w:t xml:space="preserve"> </w:t>
            </w:r>
          </w:p>
          <w:p w14:paraId="5AD1FBB6" w14:textId="77777777" w:rsidR="009A0C67" w:rsidRDefault="009A0C67"/>
        </w:tc>
        <w:tc>
          <w:tcPr>
            <w:tcW w:w="6475" w:type="dxa"/>
          </w:tcPr>
          <w:p w14:paraId="44B26547" w14:textId="709BD80D" w:rsidR="009A0C67" w:rsidRDefault="00532840">
            <w:r w:rsidRPr="00532840">
              <w:t>Consumer Math is a two part (semester) course lasting a total of 40 weeks. These classes are designed to fulfill general math credit for high school students. The focus is on </w:t>
            </w:r>
            <w:r w:rsidRPr="00532840">
              <w:rPr>
                <w:bCs/>
              </w:rPr>
              <w:t>applying math skills</w:t>
            </w:r>
            <w:r w:rsidRPr="00532840">
              <w:t> to real world situations, not the mechanics of how to do the math.</w:t>
            </w:r>
          </w:p>
        </w:tc>
      </w:tr>
      <w:tr w:rsidR="009A0C67" w14:paraId="4377828E" w14:textId="77777777" w:rsidTr="002A7883">
        <w:tc>
          <w:tcPr>
            <w:tcW w:w="2875" w:type="dxa"/>
          </w:tcPr>
          <w:p w14:paraId="6C17CE77" w14:textId="6B562A04" w:rsidR="009A0C67" w:rsidRDefault="00532840" w:rsidP="00532840">
            <w:r>
              <w:t>Financial Literacy with Hands on Banking</w:t>
            </w:r>
          </w:p>
        </w:tc>
        <w:tc>
          <w:tcPr>
            <w:tcW w:w="3600" w:type="dxa"/>
          </w:tcPr>
          <w:p w14:paraId="219A3174" w14:textId="77777777" w:rsidR="00532840" w:rsidRPr="00532840" w:rsidRDefault="00AF442B" w:rsidP="00532840">
            <w:hyperlink r:id="rId30" w:history="1">
              <w:r w:rsidR="00532840" w:rsidRPr="00532840">
                <w:rPr>
                  <w:rStyle w:val="Hyperlink"/>
                </w:rPr>
                <w:t>http://www.handsonbanking.org/en/</w:t>
              </w:r>
            </w:hyperlink>
            <w:r w:rsidR="00532840" w:rsidRPr="00532840">
              <w:t xml:space="preserve"> </w:t>
            </w:r>
          </w:p>
          <w:p w14:paraId="68589913" w14:textId="77777777" w:rsidR="009A0C67" w:rsidRDefault="009A0C67"/>
        </w:tc>
        <w:tc>
          <w:tcPr>
            <w:tcW w:w="6475" w:type="dxa"/>
          </w:tcPr>
          <w:p w14:paraId="29F552D5" w14:textId="33860C81" w:rsidR="009A0C67" w:rsidRDefault="00532840">
            <w:r w:rsidRPr="00532840">
              <w:t>The </w:t>
            </w:r>
            <w:r w:rsidRPr="00532840">
              <w:rPr>
                <w:iCs/>
              </w:rPr>
              <w:t>Hands on Banking</w:t>
            </w:r>
            <w:r w:rsidRPr="00532840">
              <w:t> online financial courses include free instructor guides with classroom lessons and activities that will help you guide students through real-life scenarios, group discussions, and other activities designed to teach valuable money management skills and help them take control of their finances. All without endorsements or commercials.</w:t>
            </w:r>
          </w:p>
        </w:tc>
      </w:tr>
      <w:tr w:rsidR="009A0C67" w14:paraId="3261960F" w14:textId="77777777" w:rsidTr="002A7883">
        <w:tc>
          <w:tcPr>
            <w:tcW w:w="2875" w:type="dxa"/>
          </w:tcPr>
          <w:p w14:paraId="5AD85EDF" w14:textId="77777777" w:rsidR="009A0C67" w:rsidRDefault="009A0C67"/>
        </w:tc>
        <w:tc>
          <w:tcPr>
            <w:tcW w:w="3600" w:type="dxa"/>
          </w:tcPr>
          <w:p w14:paraId="39BC7052" w14:textId="77777777" w:rsidR="009A0C67" w:rsidRDefault="009A0C67"/>
        </w:tc>
        <w:tc>
          <w:tcPr>
            <w:tcW w:w="6475" w:type="dxa"/>
          </w:tcPr>
          <w:p w14:paraId="0D2DD56E" w14:textId="77777777" w:rsidR="009A0C67" w:rsidRDefault="009A0C67"/>
        </w:tc>
      </w:tr>
      <w:tr w:rsidR="009A0C67" w14:paraId="2E42AA9D" w14:textId="77777777" w:rsidTr="00342A5B">
        <w:tc>
          <w:tcPr>
            <w:tcW w:w="12950" w:type="dxa"/>
            <w:gridSpan w:val="3"/>
            <w:shd w:val="clear" w:color="auto" w:fill="0070C0"/>
          </w:tcPr>
          <w:p w14:paraId="64C680A8" w14:textId="77777777" w:rsidR="009A0C67" w:rsidRPr="009A0C67" w:rsidRDefault="009A0C67">
            <w:pPr>
              <w:rPr>
                <w:b/>
                <w:sz w:val="24"/>
                <w:szCs w:val="24"/>
              </w:rPr>
            </w:pPr>
            <w:r w:rsidRPr="009A0C67">
              <w:rPr>
                <w:b/>
                <w:sz w:val="24"/>
                <w:szCs w:val="24"/>
              </w:rPr>
              <w:t>5. Instruction in Self-Advocacy</w:t>
            </w:r>
          </w:p>
        </w:tc>
      </w:tr>
      <w:tr w:rsidR="009A0C67" w14:paraId="35F96EC5" w14:textId="77777777" w:rsidTr="002A7883">
        <w:tc>
          <w:tcPr>
            <w:tcW w:w="2875" w:type="dxa"/>
          </w:tcPr>
          <w:p w14:paraId="4E980CFF" w14:textId="6B2A7B20" w:rsidR="009A0C67" w:rsidRDefault="00E1588D">
            <w:r>
              <w:t>ME! Lessons</w:t>
            </w:r>
          </w:p>
        </w:tc>
        <w:tc>
          <w:tcPr>
            <w:tcW w:w="3600" w:type="dxa"/>
          </w:tcPr>
          <w:p w14:paraId="378DFBD7" w14:textId="5677E679" w:rsidR="009A0C67" w:rsidRDefault="00AF442B">
            <w:hyperlink r:id="rId31" w:history="1">
              <w:r w:rsidR="00E1588D" w:rsidRPr="000979E1">
                <w:rPr>
                  <w:rStyle w:val="Hyperlink"/>
                </w:rPr>
                <w:t>https://www.ou.edu/content/education/centers-and-partnerships/zarrow/trasition-education-materials/me-lessons-for-teaching-self-awareness-and-self-advocacy.html</w:t>
              </w:r>
            </w:hyperlink>
          </w:p>
          <w:p w14:paraId="3A3762D0" w14:textId="07EA0351" w:rsidR="00E1588D" w:rsidRDefault="00E1588D"/>
        </w:tc>
        <w:tc>
          <w:tcPr>
            <w:tcW w:w="6475" w:type="dxa"/>
          </w:tcPr>
          <w:p w14:paraId="79D686AC" w14:textId="0EB0E1DB" w:rsidR="009A0C67" w:rsidRDefault="00D624F2" w:rsidP="00D624F2">
            <w:r>
              <w:t xml:space="preserve">This curriculum provides lessons and supplemental information to develop self-awareness and self-advocacy skills. Lesson plans can be modified to meet individual student sand teacher needs.  </w:t>
            </w:r>
          </w:p>
        </w:tc>
      </w:tr>
      <w:tr w:rsidR="009A0C67" w14:paraId="714CEC3B" w14:textId="77777777" w:rsidTr="002A7883">
        <w:tc>
          <w:tcPr>
            <w:tcW w:w="2875" w:type="dxa"/>
          </w:tcPr>
          <w:p w14:paraId="3D1B3FD4" w14:textId="70E94E73" w:rsidR="009A0C67" w:rsidRDefault="00D624F2">
            <w:r>
              <w:t>Whose</w:t>
            </w:r>
            <w:r w:rsidR="00E1588D">
              <w:t xml:space="preserve"> Future is it </w:t>
            </w:r>
            <w:r w:rsidR="00E1588D" w:rsidRPr="00D624F2">
              <w:rPr>
                <w:i/>
              </w:rPr>
              <w:t>Anyway</w:t>
            </w:r>
            <w:r w:rsidR="00E1588D">
              <w:t>?</w:t>
            </w:r>
          </w:p>
        </w:tc>
        <w:tc>
          <w:tcPr>
            <w:tcW w:w="3600" w:type="dxa"/>
          </w:tcPr>
          <w:p w14:paraId="72E5DDE6" w14:textId="2AE02662" w:rsidR="009A0C67" w:rsidRDefault="00AF442B">
            <w:hyperlink r:id="rId32" w:history="1">
              <w:r w:rsidR="00E1588D" w:rsidRPr="000979E1">
                <w:rPr>
                  <w:rStyle w:val="Hyperlink"/>
                </w:rPr>
                <w:t>https://www.ou.edu/content/education/centers-and-partnerships/zarrow/trasition-education-materials/whos-future-is-it-anyway.html</w:t>
              </w:r>
            </w:hyperlink>
          </w:p>
          <w:p w14:paraId="596C6DB3" w14:textId="5CFD0CEE" w:rsidR="00E1588D" w:rsidRDefault="00E1588D"/>
        </w:tc>
        <w:tc>
          <w:tcPr>
            <w:tcW w:w="6475" w:type="dxa"/>
          </w:tcPr>
          <w:p w14:paraId="274E6CE5" w14:textId="77777777" w:rsidR="00D624F2" w:rsidRPr="00D624F2" w:rsidRDefault="00D624F2" w:rsidP="00D624F2">
            <w:r w:rsidRPr="00D624F2">
              <w:t>Whose Future Is It </w:t>
            </w:r>
            <w:r w:rsidRPr="00D624F2">
              <w:rPr>
                <w:i/>
                <w:iCs/>
              </w:rPr>
              <w:t>Anyway?</w:t>
            </w:r>
            <w:r w:rsidRPr="00D624F2">
              <w:t> </w:t>
            </w:r>
            <w:proofErr w:type="gramStart"/>
            <w:r w:rsidRPr="00D624F2">
              <w:t>helps</w:t>
            </w:r>
            <w:proofErr w:type="gramEnd"/>
            <w:r w:rsidRPr="00D624F2">
              <w:t xml:space="preserve"> prepare students for their IEP meetings and gain self-determination skills through six sections that contain 36 lesson sessions.</w:t>
            </w:r>
          </w:p>
          <w:p w14:paraId="06B44D2F" w14:textId="77777777" w:rsidR="00D624F2" w:rsidRPr="00D624F2" w:rsidRDefault="00D624F2" w:rsidP="00D624F2">
            <w:r w:rsidRPr="00D624F2">
              <w:t>This lesson package comes with a </w:t>
            </w:r>
            <w:hyperlink r:id="rId33" w:history="1">
              <w:r w:rsidRPr="00D624F2">
                <w:rPr>
                  <w:rStyle w:val="Hyperlink"/>
                </w:rPr>
                <w:t>Coach's Guide</w:t>
              </w:r>
            </w:hyperlink>
            <w:r w:rsidRPr="00D624F2">
              <w:t> (PDF) that outlines the lessons, how to teach them, the roles of the students and teachers, as well as expected outcomes.</w:t>
            </w:r>
          </w:p>
          <w:p w14:paraId="2FB94305" w14:textId="3558B617" w:rsidR="009A0C67" w:rsidRDefault="009A0C67" w:rsidP="00D624F2"/>
        </w:tc>
      </w:tr>
      <w:tr w:rsidR="009A0C67" w14:paraId="252D26FA" w14:textId="77777777" w:rsidTr="002A7883">
        <w:tc>
          <w:tcPr>
            <w:tcW w:w="2875" w:type="dxa"/>
          </w:tcPr>
          <w:p w14:paraId="2F0F9656" w14:textId="6573AED6" w:rsidR="009A0C67" w:rsidRDefault="00D624F2">
            <w:r>
              <w:t>411 on Disability Disclosure</w:t>
            </w:r>
          </w:p>
        </w:tc>
        <w:tc>
          <w:tcPr>
            <w:tcW w:w="3600" w:type="dxa"/>
          </w:tcPr>
          <w:p w14:paraId="2E029C15" w14:textId="77777777" w:rsidR="00D624F2" w:rsidRDefault="00AF442B" w:rsidP="00D624F2">
            <w:hyperlink r:id="rId34" w:history="1">
              <w:r w:rsidR="00D624F2" w:rsidRPr="000979E1">
                <w:rPr>
                  <w:rStyle w:val="Hyperlink"/>
                </w:rPr>
                <w:t>http://www.ncwd-youth.info/411-on-disability-disclosure</w:t>
              </w:r>
            </w:hyperlink>
          </w:p>
          <w:p w14:paraId="0407214F" w14:textId="77777777" w:rsidR="009A0C67" w:rsidRDefault="009A0C67"/>
        </w:tc>
        <w:tc>
          <w:tcPr>
            <w:tcW w:w="6475" w:type="dxa"/>
          </w:tcPr>
          <w:p w14:paraId="209592CB" w14:textId="49B93925" w:rsidR="009A0C67" w:rsidRDefault="00D624F2">
            <w:r w:rsidRPr="00D624F2">
              <w:t>The 411 on Disability Disclosure: A Workbook for Youth with Disabilities is designed for youth and adults working with them to learn about disability disclosure. This workbook helps young people make informed decisions about whether or not to disclose their disability and understand how that decision may impact their education, employment, and social lives.</w:t>
            </w:r>
          </w:p>
        </w:tc>
      </w:tr>
      <w:tr w:rsidR="009A0C67" w14:paraId="7A8FA829" w14:textId="77777777" w:rsidTr="002A7883">
        <w:tc>
          <w:tcPr>
            <w:tcW w:w="2875" w:type="dxa"/>
          </w:tcPr>
          <w:p w14:paraId="503D0542" w14:textId="77777777" w:rsidR="009A0C67" w:rsidRDefault="009A0C67"/>
        </w:tc>
        <w:tc>
          <w:tcPr>
            <w:tcW w:w="3600" w:type="dxa"/>
          </w:tcPr>
          <w:p w14:paraId="4FFF96E8" w14:textId="77777777" w:rsidR="009A0C67" w:rsidRDefault="009A0C67"/>
        </w:tc>
        <w:tc>
          <w:tcPr>
            <w:tcW w:w="6475" w:type="dxa"/>
          </w:tcPr>
          <w:p w14:paraId="1B4D2BA2" w14:textId="77777777" w:rsidR="009A0C67" w:rsidRDefault="009A0C67"/>
        </w:tc>
      </w:tr>
    </w:tbl>
    <w:p w14:paraId="74332394" w14:textId="77777777" w:rsidR="00C557D3" w:rsidRDefault="00AF442B"/>
    <w:sectPr w:rsidR="00C557D3" w:rsidSect="009A0C67">
      <w:footerReference w:type="default" r:id="rId3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6D847" w14:textId="77777777" w:rsidR="00BA4D60" w:rsidRDefault="00BA4D60" w:rsidP="007F3050">
      <w:pPr>
        <w:spacing w:after="0" w:line="240" w:lineRule="auto"/>
      </w:pPr>
      <w:r>
        <w:separator/>
      </w:r>
    </w:p>
  </w:endnote>
  <w:endnote w:type="continuationSeparator" w:id="0">
    <w:p w14:paraId="41C7A031" w14:textId="77777777" w:rsidR="00BA4D60" w:rsidRDefault="00BA4D60" w:rsidP="007F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8D718" w14:textId="77777777" w:rsidR="007F3050" w:rsidRPr="007F3050" w:rsidRDefault="007F3050" w:rsidP="007F3050">
    <w:pPr>
      <w:pStyle w:val="Footer"/>
      <w:jc w:val="right"/>
    </w:pPr>
    <w:r w:rsidRPr="007F3050">
      <w:t>Montana Pre-ETS TAC 2017</w:t>
    </w:r>
  </w:p>
  <w:p w14:paraId="4E00CF92" w14:textId="77777777" w:rsidR="007F3050" w:rsidRDefault="007F3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4BDE8" w14:textId="77777777" w:rsidR="00BA4D60" w:rsidRDefault="00BA4D60" w:rsidP="007F3050">
      <w:pPr>
        <w:spacing w:after="0" w:line="240" w:lineRule="auto"/>
      </w:pPr>
      <w:r>
        <w:separator/>
      </w:r>
    </w:p>
  </w:footnote>
  <w:footnote w:type="continuationSeparator" w:id="0">
    <w:p w14:paraId="6BA5143D" w14:textId="77777777" w:rsidR="00BA4D60" w:rsidRDefault="00BA4D60" w:rsidP="007F30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85C92"/>
    <w:multiLevelType w:val="hybridMultilevel"/>
    <w:tmpl w:val="1464C328"/>
    <w:lvl w:ilvl="0" w:tplc="695A2E74">
      <w:start w:val="1"/>
      <w:numFmt w:val="bullet"/>
      <w:lvlText w:val=""/>
      <w:lvlJc w:val="left"/>
      <w:pPr>
        <w:tabs>
          <w:tab w:val="num" w:pos="720"/>
        </w:tabs>
        <w:ind w:left="720" w:hanging="360"/>
      </w:pPr>
      <w:rPr>
        <w:rFonts w:ascii="Wingdings 2" w:hAnsi="Wingdings 2" w:hint="default"/>
      </w:rPr>
    </w:lvl>
    <w:lvl w:ilvl="1" w:tplc="6AE8AAA2" w:tentative="1">
      <w:start w:val="1"/>
      <w:numFmt w:val="bullet"/>
      <w:lvlText w:val=""/>
      <w:lvlJc w:val="left"/>
      <w:pPr>
        <w:tabs>
          <w:tab w:val="num" w:pos="1440"/>
        </w:tabs>
        <w:ind w:left="1440" w:hanging="360"/>
      </w:pPr>
      <w:rPr>
        <w:rFonts w:ascii="Wingdings 2" w:hAnsi="Wingdings 2" w:hint="default"/>
      </w:rPr>
    </w:lvl>
    <w:lvl w:ilvl="2" w:tplc="AA02B316" w:tentative="1">
      <w:start w:val="1"/>
      <w:numFmt w:val="bullet"/>
      <w:lvlText w:val=""/>
      <w:lvlJc w:val="left"/>
      <w:pPr>
        <w:tabs>
          <w:tab w:val="num" w:pos="2160"/>
        </w:tabs>
        <w:ind w:left="2160" w:hanging="360"/>
      </w:pPr>
      <w:rPr>
        <w:rFonts w:ascii="Wingdings 2" w:hAnsi="Wingdings 2" w:hint="default"/>
      </w:rPr>
    </w:lvl>
    <w:lvl w:ilvl="3" w:tplc="DB12F7E2" w:tentative="1">
      <w:start w:val="1"/>
      <w:numFmt w:val="bullet"/>
      <w:lvlText w:val=""/>
      <w:lvlJc w:val="left"/>
      <w:pPr>
        <w:tabs>
          <w:tab w:val="num" w:pos="2880"/>
        </w:tabs>
        <w:ind w:left="2880" w:hanging="360"/>
      </w:pPr>
      <w:rPr>
        <w:rFonts w:ascii="Wingdings 2" w:hAnsi="Wingdings 2" w:hint="default"/>
      </w:rPr>
    </w:lvl>
    <w:lvl w:ilvl="4" w:tplc="5DD2B610" w:tentative="1">
      <w:start w:val="1"/>
      <w:numFmt w:val="bullet"/>
      <w:lvlText w:val=""/>
      <w:lvlJc w:val="left"/>
      <w:pPr>
        <w:tabs>
          <w:tab w:val="num" w:pos="3600"/>
        </w:tabs>
        <w:ind w:left="3600" w:hanging="360"/>
      </w:pPr>
      <w:rPr>
        <w:rFonts w:ascii="Wingdings 2" w:hAnsi="Wingdings 2" w:hint="default"/>
      </w:rPr>
    </w:lvl>
    <w:lvl w:ilvl="5" w:tplc="392A74F2" w:tentative="1">
      <w:start w:val="1"/>
      <w:numFmt w:val="bullet"/>
      <w:lvlText w:val=""/>
      <w:lvlJc w:val="left"/>
      <w:pPr>
        <w:tabs>
          <w:tab w:val="num" w:pos="4320"/>
        </w:tabs>
        <w:ind w:left="4320" w:hanging="360"/>
      </w:pPr>
      <w:rPr>
        <w:rFonts w:ascii="Wingdings 2" w:hAnsi="Wingdings 2" w:hint="default"/>
      </w:rPr>
    </w:lvl>
    <w:lvl w:ilvl="6" w:tplc="DCC867A8" w:tentative="1">
      <w:start w:val="1"/>
      <w:numFmt w:val="bullet"/>
      <w:lvlText w:val=""/>
      <w:lvlJc w:val="left"/>
      <w:pPr>
        <w:tabs>
          <w:tab w:val="num" w:pos="5040"/>
        </w:tabs>
        <w:ind w:left="5040" w:hanging="360"/>
      </w:pPr>
      <w:rPr>
        <w:rFonts w:ascii="Wingdings 2" w:hAnsi="Wingdings 2" w:hint="default"/>
      </w:rPr>
    </w:lvl>
    <w:lvl w:ilvl="7" w:tplc="FD0C3EC2" w:tentative="1">
      <w:start w:val="1"/>
      <w:numFmt w:val="bullet"/>
      <w:lvlText w:val=""/>
      <w:lvlJc w:val="left"/>
      <w:pPr>
        <w:tabs>
          <w:tab w:val="num" w:pos="5760"/>
        </w:tabs>
        <w:ind w:left="5760" w:hanging="360"/>
      </w:pPr>
      <w:rPr>
        <w:rFonts w:ascii="Wingdings 2" w:hAnsi="Wingdings 2" w:hint="default"/>
      </w:rPr>
    </w:lvl>
    <w:lvl w:ilvl="8" w:tplc="25D0097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6B1C6A76"/>
    <w:multiLevelType w:val="hybridMultilevel"/>
    <w:tmpl w:val="1F36B026"/>
    <w:lvl w:ilvl="0" w:tplc="19CC2FCA">
      <w:start w:val="1"/>
      <w:numFmt w:val="bullet"/>
      <w:lvlText w:val=""/>
      <w:lvlJc w:val="left"/>
      <w:pPr>
        <w:tabs>
          <w:tab w:val="num" w:pos="720"/>
        </w:tabs>
        <w:ind w:left="720" w:hanging="360"/>
      </w:pPr>
      <w:rPr>
        <w:rFonts w:ascii="Wingdings 2" w:hAnsi="Wingdings 2" w:hint="default"/>
      </w:rPr>
    </w:lvl>
    <w:lvl w:ilvl="1" w:tplc="B1D26882" w:tentative="1">
      <w:start w:val="1"/>
      <w:numFmt w:val="bullet"/>
      <w:lvlText w:val=""/>
      <w:lvlJc w:val="left"/>
      <w:pPr>
        <w:tabs>
          <w:tab w:val="num" w:pos="1440"/>
        </w:tabs>
        <w:ind w:left="1440" w:hanging="360"/>
      </w:pPr>
      <w:rPr>
        <w:rFonts w:ascii="Wingdings 2" w:hAnsi="Wingdings 2" w:hint="default"/>
      </w:rPr>
    </w:lvl>
    <w:lvl w:ilvl="2" w:tplc="C49C1CB0" w:tentative="1">
      <w:start w:val="1"/>
      <w:numFmt w:val="bullet"/>
      <w:lvlText w:val=""/>
      <w:lvlJc w:val="left"/>
      <w:pPr>
        <w:tabs>
          <w:tab w:val="num" w:pos="2160"/>
        </w:tabs>
        <w:ind w:left="2160" w:hanging="360"/>
      </w:pPr>
      <w:rPr>
        <w:rFonts w:ascii="Wingdings 2" w:hAnsi="Wingdings 2" w:hint="default"/>
      </w:rPr>
    </w:lvl>
    <w:lvl w:ilvl="3" w:tplc="DB4C6A96" w:tentative="1">
      <w:start w:val="1"/>
      <w:numFmt w:val="bullet"/>
      <w:lvlText w:val=""/>
      <w:lvlJc w:val="left"/>
      <w:pPr>
        <w:tabs>
          <w:tab w:val="num" w:pos="2880"/>
        </w:tabs>
        <w:ind w:left="2880" w:hanging="360"/>
      </w:pPr>
      <w:rPr>
        <w:rFonts w:ascii="Wingdings 2" w:hAnsi="Wingdings 2" w:hint="default"/>
      </w:rPr>
    </w:lvl>
    <w:lvl w:ilvl="4" w:tplc="7E64409A" w:tentative="1">
      <w:start w:val="1"/>
      <w:numFmt w:val="bullet"/>
      <w:lvlText w:val=""/>
      <w:lvlJc w:val="left"/>
      <w:pPr>
        <w:tabs>
          <w:tab w:val="num" w:pos="3600"/>
        </w:tabs>
        <w:ind w:left="3600" w:hanging="360"/>
      </w:pPr>
      <w:rPr>
        <w:rFonts w:ascii="Wingdings 2" w:hAnsi="Wingdings 2" w:hint="default"/>
      </w:rPr>
    </w:lvl>
    <w:lvl w:ilvl="5" w:tplc="CDC23256" w:tentative="1">
      <w:start w:val="1"/>
      <w:numFmt w:val="bullet"/>
      <w:lvlText w:val=""/>
      <w:lvlJc w:val="left"/>
      <w:pPr>
        <w:tabs>
          <w:tab w:val="num" w:pos="4320"/>
        </w:tabs>
        <w:ind w:left="4320" w:hanging="360"/>
      </w:pPr>
      <w:rPr>
        <w:rFonts w:ascii="Wingdings 2" w:hAnsi="Wingdings 2" w:hint="default"/>
      </w:rPr>
    </w:lvl>
    <w:lvl w:ilvl="6" w:tplc="99A27254" w:tentative="1">
      <w:start w:val="1"/>
      <w:numFmt w:val="bullet"/>
      <w:lvlText w:val=""/>
      <w:lvlJc w:val="left"/>
      <w:pPr>
        <w:tabs>
          <w:tab w:val="num" w:pos="5040"/>
        </w:tabs>
        <w:ind w:left="5040" w:hanging="360"/>
      </w:pPr>
      <w:rPr>
        <w:rFonts w:ascii="Wingdings 2" w:hAnsi="Wingdings 2" w:hint="default"/>
      </w:rPr>
    </w:lvl>
    <w:lvl w:ilvl="7" w:tplc="760641E0" w:tentative="1">
      <w:start w:val="1"/>
      <w:numFmt w:val="bullet"/>
      <w:lvlText w:val=""/>
      <w:lvlJc w:val="left"/>
      <w:pPr>
        <w:tabs>
          <w:tab w:val="num" w:pos="5760"/>
        </w:tabs>
        <w:ind w:left="5760" w:hanging="360"/>
      </w:pPr>
      <w:rPr>
        <w:rFonts w:ascii="Wingdings 2" w:hAnsi="Wingdings 2" w:hint="default"/>
      </w:rPr>
    </w:lvl>
    <w:lvl w:ilvl="8" w:tplc="9088325C"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F3"/>
    <w:rsid w:val="0000769C"/>
    <w:rsid w:val="000569DA"/>
    <w:rsid w:val="0013050E"/>
    <w:rsid w:val="001602E2"/>
    <w:rsid w:val="001A6D8F"/>
    <w:rsid w:val="002825EC"/>
    <w:rsid w:val="00291EA1"/>
    <w:rsid w:val="002A7883"/>
    <w:rsid w:val="002F29E4"/>
    <w:rsid w:val="00342A5B"/>
    <w:rsid w:val="00390FB1"/>
    <w:rsid w:val="003933BE"/>
    <w:rsid w:val="003F3FF3"/>
    <w:rsid w:val="00465E2D"/>
    <w:rsid w:val="00532840"/>
    <w:rsid w:val="00623845"/>
    <w:rsid w:val="007F3050"/>
    <w:rsid w:val="0084658F"/>
    <w:rsid w:val="00881F90"/>
    <w:rsid w:val="00941A74"/>
    <w:rsid w:val="00946AA0"/>
    <w:rsid w:val="009A0C67"/>
    <w:rsid w:val="00A13062"/>
    <w:rsid w:val="00AF442B"/>
    <w:rsid w:val="00BA4D60"/>
    <w:rsid w:val="00BD19FB"/>
    <w:rsid w:val="00CF58D8"/>
    <w:rsid w:val="00D624F2"/>
    <w:rsid w:val="00DC676E"/>
    <w:rsid w:val="00E079F5"/>
    <w:rsid w:val="00E1588D"/>
    <w:rsid w:val="00E336D4"/>
    <w:rsid w:val="00FC0FBB"/>
    <w:rsid w:val="00FE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3F73"/>
  <w15:chartTrackingRefBased/>
  <w15:docId w15:val="{D51E5E6C-7A37-493A-BE77-366E22C6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050E"/>
    <w:rPr>
      <w:sz w:val="16"/>
      <w:szCs w:val="16"/>
    </w:rPr>
  </w:style>
  <w:style w:type="paragraph" w:styleId="CommentText">
    <w:name w:val="annotation text"/>
    <w:basedOn w:val="Normal"/>
    <w:link w:val="CommentTextChar"/>
    <w:uiPriority w:val="99"/>
    <w:semiHidden/>
    <w:unhideWhenUsed/>
    <w:rsid w:val="0013050E"/>
    <w:pPr>
      <w:spacing w:line="240" w:lineRule="auto"/>
    </w:pPr>
    <w:rPr>
      <w:sz w:val="20"/>
      <w:szCs w:val="20"/>
    </w:rPr>
  </w:style>
  <w:style w:type="character" w:customStyle="1" w:styleId="CommentTextChar">
    <w:name w:val="Comment Text Char"/>
    <w:basedOn w:val="DefaultParagraphFont"/>
    <w:link w:val="CommentText"/>
    <w:uiPriority w:val="99"/>
    <w:semiHidden/>
    <w:rsid w:val="0013050E"/>
    <w:rPr>
      <w:sz w:val="20"/>
      <w:szCs w:val="20"/>
    </w:rPr>
  </w:style>
  <w:style w:type="paragraph" w:styleId="CommentSubject">
    <w:name w:val="annotation subject"/>
    <w:basedOn w:val="CommentText"/>
    <w:next w:val="CommentText"/>
    <w:link w:val="CommentSubjectChar"/>
    <w:uiPriority w:val="99"/>
    <w:semiHidden/>
    <w:unhideWhenUsed/>
    <w:rsid w:val="0013050E"/>
    <w:rPr>
      <w:b/>
      <w:bCs/>
    </w:rPr>
  </w:style>
  <w:style w:type="character" w:customStyle="1" w:styleId="CommentSubjectChar">
    <w:name w:val="Comment Subject Char"/>
    <w:basedOn w:val="CommentTextChar"/>
    <w:link w:val="CommentSubject"/>
    <w:uiPriority w:val="99"/>
    <w:semiHidden/>
    <w:rsid w:val="0013050E"/>
    <w:rPr>
      <w:b/>
      <w:bCs/>
      <w:sz w:val="20"/>
      <w:szCs w:val="20"/>
    </w:rPr>
  </w:style>
  <w:style w:type="paragraph" w:styleId="BalloonText">
    <w:name w:val="Balloon Text"/>
    <w:basedOn w:val="Normal"/>
    <w:link w:val="BalloonTextChar"/>
    <w:uiPriority w:val="99"/>
    <w:semiHidden/>
    <w:unhideWhenUsed/>
    <w:rsid w:val="00130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50E"/>
    <w:rPr>
      <w:rFonts w:ascii="Segoe UI" w:hAnsi="Segoe UI" w:cs="Segoe UI"/>
      <w:sz w:val="18"/>
      <w:szCs w:val="18"/>
    </w:rPr>
  </w:style>
  <w:style w:type="character" w:styleId="Hyperlink">
    <w:name w:val="Hyperlink"/>
    <w:basedOn w:val="DefaultParagraphFont"/>
    <w:uiPriority w:val="99"/>
    <w:unhideWhenUsed/>
    <w:rsid w:val="00E1588D"/>
    <w:rPr>
      <w:color w:val="0563C1" w:themeColor="hyperlink"/>
      <w:u w:val="single"/>
    </w:rPr>
  </w:style>
  <w:style w:type="paragraph" w:styleId="NormalWeb">
    <w:name w:val="Normal (Web)"/>
    <w:basedOn w:val="Normal"/>
    <w:uiPriority w:val="99"/>
    <w:semiHidden/>
    <w:unhideWhenUsed/>
    <w:rsid w:val="00D624F2"/>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D624F2"/>
    <w:rPr>
      <w:b/>
      <w:bCs/>
    </w:rPr>
  </w:style>
  <w:style w:type="character" w:styleId="FollowedHyperlink">
    <w:name w:val="FollowedHyperlink"/>
    <w:basedOn w:val="DefaultParagraphFont"/>
    <w:uiPriority w:val="99"/>
    <w:semiHidden/>
    <w:unhideWhenUsed/>
    <w:rsid w:val="00D624F2"/>
    <w:rPr>
      <w:color w:val="954F72" w:themeColor="followedHyperlink"/>
      <w:u w:val="single"/>
    </w:rPr>
  </w:style>
  <w:style w:type="paragraph" w:styleId="ListParagraph">
    <w:name w:val="List Paragraph"/>
    <w:basedOn w:val="Normal"/>
    <w:uiPriority w:val="34"/>
    <w:qFormat/>
    <w:rsid w:val="0053284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3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050"/>
  </w:style>
  <w:style w:type="paragraph" w:styleId="Footer">
    <w:name w:val="footer"/>
    <w:basedOn w:val="Normal"/>
    <w:link w:val="FooterChar"/>
    <w:uiPriority w:val="99"/>
    <w:unhideWhenUsed/>
    <w:rsid w:val="007F3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1662">
      <w:bodyDiv w:val="1"/>
      <w:marLeft w:val="0"/>
      <w:marRight w:val="0"/>
      <w:marTop w:val="0"/>
      <w:marBottom w:val="0"/>
      <w:divBdr>
        <w:top w:val="none" w:sz="0" w:space="0" w:color="auto"/>
        <w:left w:val="none" w:sz="0" w:space="0" w:color="auto"/>
        <w:bottom w:val="none" w:sz="0" w:space="0" w:color="auto"/>
        <w:right w:val="none" w:sz="0" w:space="0" w:color="auto"/>
      </w:divBdr>
      <w:divsChild>
        <w:div w:id="1903712149">
          <w:marLeft w:val="288"/>
          <w:marRight w:val="0"/>
          <w:marTop w:val="240"/>
          <w:marBottom w:val="0"/>
          <w:divBdr>
            <w:top w:val="none" w:sz="0" w:space="0" w:color="auto"/>
            <w:left w:val="none" w:sz="0" w:space="0" w:color="auto"/>
            <w:bottom w:val="none" w:sz="0" w:space="0" w:color="auto"/>
            <w:right w:val="none" w:sz="0" w:space="0" w:color="auto"/>
          </w:divBdr>
        </w:div>
      </w:divsChild>
    </w:div>
    <w:div w:id="760225702">
      <w:bodyDiv w:val="1"/>
      <w:marLeft w:val="0"/>
      <w:marRight w:val="0"/>
      <w:marTop w:val="0"/>
      <w:marBottom w:val="0"/>
      <w:divBdr>
        <w:top w:val="none" w:sz="0" w:space="0" w:color="auto"/>
        <w:left w:val="none" w:sz="0" w:space="0" w:color="auto"/>
        <w:bottom w:val="none" w:sz="0" w:space="0" w:color="auto"/>
        <w:right w:val="none" w:sz="0" w:space="0" w:color="auto"/>
      </w:divBdr>
    </w:div>
    <w:div w:id="762647041">
      <w:bodyDiv w:val="1"/>
      <w:marLeft w:val="0"/>
      <w:marRight w:val="0"/>
      <w:marTop w:val="0"/>
      <w:marBottom w:val="0"/>
      <w:divBdr>
        <w:top w:val="none" w:sz="0" w:space="0" w:color="auto"/>
        <w:left w:val="none" w:sz="0" w:space="0" w:color="auto"/>
        <w:bottom w:val="none" w:sz="0" w:space="0" w:color="auto"/>
        <w:right w:val="none" w:sz="0" w:space="0" w:color="auto"/>
      </w:divBdr>
    </w:div>
    <w:div w:id="799618483">
      <w:bodyDiv w:val="1"/>
      <w:marLeft w:val="0"/>
      <w:marRight w:val="0"/>
      <w:marTop w:val="0"/>
      <w:marBottom w:val="0"/>
      <w:divBdr>
        <w:top w:val="none" w:sz="0" w:space="0" w:color="auto"/>
        <w:left w:val="none" w:sz="0" w:space="0" w:color="auto"/>
        <w:bottom w:val="none" w:sz="0" w:space="0" w:color="auto"/>
        <w:right w:val="none" w:sz="0" w:space="0" w:color="auto"/>
      </w:divBdr>
    </w:div>
    <w:div w:id="1331374812">
      <w:bodyDiv w:val="1"/>
      <w:marLeft w:val="0"/>
      <w:marRight w:val="0"/>
      <w:marTop w:val="0"/>
      <w:marBottom w:val="0"/>
      <w:divBdr>
        <w:top w:val="none" w:sz="0" w:space="0" w:color="auto"/>
        <w:left w:val="none" w:sz="0" w:space="0" w:color="auto"/>
        <w:bottom w:val="none" w:sz="0" w:space="0" w:color="auto"/>
        <w:right w:val="none" w:sz="0" w:space="0" w:color="auto"/>
      </w:divBdr>
    </w:div>
    <w:div w:id="1373848894">
      <w:bodyDiv w:val="1"/>
      <w:marLeft w:val="0"/>
      <w:marRight w:val="0"/>
      <w:marTop w:val="0"/>
      <w:marBottom w:val="0"/>
      <w:divBdr>
        <w:top w:val="none" w:sz="0" w:space="0" w:color="auto"/>
        <w:left w:val="none" w:sz="0" w:space="0" w:color="auto"/>
        <w:bottom w:val="none" w:sz="0" w:space="0" w:color="auto"/>
        <w:right w:val="none" w:sz="0" w:space="0" w:color="auto"/>
      </w:divBdr>
    </w:div>
    <w:div w:id="1399858887">
      <w:bodyDiv w:val="1"/>
      <w:marLeft w:val="0"/>
      <w:marRight w:val="0"/>
      <w:marTop w:val="0"/>
      <w:marBottom w:val="0"/>
      <w:divBdr>
        <w:top w:val="none" w:sz="0" w:space="0" w:color="auto"/>
        <w:left w:val="none" w:sz="0" w:space="0" w:color="auto"/>
        <w:bottom w:val="none" w:sz="0" w:space="0" w:color="auto"/>
        <w:right w:val="none" w:sz="0" w:space="0" w:color="auto"/>
      </w:divBdr>
    </w:div>
    <w:div w:id="1484929902">
      <w:bodyDiv w:val="1"/>
      <w:marLeft w:val="0"/>
      <w:marRight w:val="0"/>
      <w:marTop w:val="0"/>
      <w:marBottom w:val="0"/>
      <w:divBdr>
        <w:top w:val="none" w:sz="0" w:space="0" w:color="auto"/>
        <w:left w:val="none" w:sz="0" w:space="0" w:color="auto"/>
        <w:bottom w:val="none" w:sz="0" w:space="0" w:color="auto"/>
        <w:right w:val="none" w:sz="0" w:space="0" w:color="auto"/>
      </w:divBdr>
    </w:div>
    <w:div w:id="1718434402">
      <w:bodyDiv w:val="1"/>
      <w:marLeft w:val="0"/>
      <w:marRight w:val="0"/>
      <w:marTop w:val="0"/>
      <w:marBottom w:val="0"/>
      <w:divBdr>
        <w:top w:val="none" w:sz="0" w:space="0" w:color="auto"/>
        <w:left w:val="none" w:sz="0" w:space="0" w:color="auto"/>
        <w:bottom w:val="none" w:sz="0" w:space="0" w:color="auto"/>
        <w:right w:val="none" w:sz="0" w:space="0" w:color="auto"/>
      </w:divBdr>
    </w:div>
    <w:div w:id="1795324525">
      <w:bodyDiv w:val="1"/>
      <w:marLeft w:val="0"/>
      <w:marRight w:val="0"/>
      <w:marTop w:val="0"/>
      <w:marBottom w:val="0"/>
      <w:divBdr>
        <w:top w:val="none" w:sz="0" w:space="0" w:color="auto"/>
        <w:left w:val="none" w:sz="0" w:space="0" w:color="auto"/>
        <w:bottom w:val="none" w:sz="0" w:space="0" w:color="auto"/>
        <w:right w:val="none" w:sz="0" w:space="0" w:color="auto"/>
      </w:divBdr>
      <w:divsChild>
        <w:div w:id="1189762347">
          <w:marLeft w:val="288"/>
          <w:marRight w:val="0"/>
          <w:marTop w:val="240"/>
          <w:marBottom w:val="0"/>
          <w:divBdr>
            <w:top w:val="none" w:sz="0" w:space="0" w:color="auto"/>
            <w:left w:val="none" w:sz="0" w:space="0" w:color="auto"/>
            <w:bottom w:val="none" w:sz="0" w:space="0" w:color="auto"/>
            <w:right w:val="none" w:sz="0" w:space="0" w:color="auto"/>
          </w:divBdr>
        </w:div>
      </w:divsChild>
    </w:div>
    <w:div w:id="201314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tanayouthtransitions.org/" TargetMode="External"/><Relationship Id="rId13" Type="http://schemas.openxmlformats.org/officeDocument/2006/relationships/hyperlink" Target="http://www.pepnet.org/" TargetMode="External"/><Relationship Id="rId18" Type="http://schemas.openxmlformats.org/officeDocument/2006/relationships/hyperlink" Target="http://www.transitiontoemployment.org/employment.html" TargetMode="External"/><Relationship Id="rId26" Type="http://schemas.openxmlformats.org/officeDocument/2006/relationships/hyperlink" Target="http://www.umt.edu/dss/Transition/" TargetMode="External"/><Relationship Id="rId3" Type="http://schemas.openxmlformats.org/officeDocument/2006/relationships/settings" Target="settings.xml"/><Relationship Id="rId21" Type="http://schemas.openxmlformats.org/officeDocument/2006/relationships/hyperlink" Target="http://ruralinstitute.umt.edu/transition/careerplanning.asp" TargetMode="External"/><Relationship Id="rId34" Type="http://schemas.openxmlformats.org/officeDocument/2006/relationships/hyperlink" Target="http://www.ncwd-youth.info/411-on-disability-disclosure" TargetMode="External"/><Relationship Id="rId7" Type="http://schemas.openxmlformats.org/officeDocument/2006/relationships/hyperlink" Target="http://ruralinstitute.umt.edu/transition/" TargetMode="External"/><Relationship Id="rId12" Type="http://schemas.openxmlformats.org/officeDocument/2006/relationships/hyperlink" Target="https://movingstudentsforward.org/its-my-choice-workbook-from-mn-governors-council-on-developmental-disabilities/" TargetMode="External"/><Relationship Id="rId17" Type="http://schemas.openxmlformats.org/officeDocument/2006/relationships/hyperlink" Target="http://projectaccess.uoregon.edu/" TargetMode="External"/><Relationship Id="rId25" Type="http://schemas.openxmlformats.org/officeDocument/2006/relationships/hyperlink" Target="http://www.thinkcollege.net/glossary" TargetMode="External"/><Relationship Id="rId33" Type="http://schemas.openxmlformats.org/officeDocument/2006/relationships/hyperlink" Target="https://www.ou.edu/content/dam/Education/documents/wfc-guide-final.pdf" TargetMode="External"/><Relationship Id="rId2" Type="http://schemas.openxmlformats.org/officeDocument/2006/relationships/styles" Target="styles.xml"/><Relationship Id="rId16" Type="http://schemas.openxmlformats.org/officeDocument/2006/relationships/hyperlink" Target="https://mtcis.intocareers.org/materials/portal/home.html" TargetMode="External"/><Relationship Id="rId20" Type="http://schemas.openxmlformats.org/officeDocument/2006/relationships/hyperlink" Target="http://montanayouthtransitions.org/transition-ieps-2/" TargetMode="External"/><Relationship Id="rId29" Type="http://schemas.openxmlformats.org/officeDocument/2006/relationships/hyperlink" Target="http://www.consumermath.org/getting_started/getting-started-online-curriculum/getting-started-consumer-ma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ralinstitute.umt.edu/transition/articles/planningworkbook.pdf" TargetMode="External"/><Relationship Id="rId24" Type="http://schemas.openxmlformats.org/officeDocument/2006/relationships/hyperlink" Target="http://www.thinkcollege.net/" TargetMode="External"/><Relationship Id="rId32" Type="http://schemas.openxmlformats.org/officeDocument/2006/relationships/hyperlink" Target="https://www.ou.edu/content/education/centers-and-partnerships/zarrow/trasition-education-materials/whos-future-is-it-anyway.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auracandler.com/strategies/multipleintelligences.php" TargetMode="External"/><Relationship Id="rId23" Type="http://schemas.openxmlformats.org/officeDocument/2006/relationships/hyperlink" Target="http://www.montanacolleges.com/" TargetMode="External"/><Relationship Id="rId28" Type="http://schemas.openxmlformats.org/officeDocument/2006/relationships/hyperlink" Target="http://www.consumermath.org/getting_started/getting-started-online-curriculum/getting-started-consumer-math/" TargetMode="External"/><Relationship Id="rId36" Type="http://schemas.openxmlformats.org/officeDocument/2006/relationships/fontTable" Target="fontTable.xml"/><Relationship Id="rId10" Type="http://schemas.openxmlformats.org/officeDocument/2006/relationships/hyperlink" Target="http://www.transitionta.org/" TargetMode="External"/><Relationship Id="rId19" Type="http://schemas.openxmlformats.org/officeDocument/2006/relationships/hyperlink" Target="http://ruralinstitute.umt.edu/transition/forms_tools.asp" TargetMode="External"/><Relationship Id="rId31" Type="http://schemas.openxmlformats.org/officeDocument/2006/relationships/hyperlink" Target="https://www.ou.edu/content/education/centers-and-partnerships/zarrow/trasition-education-materials/me-lessons-for-teaching-self-awareness-and-self-advocacy.html" TargetMode="External"/><Relationship Id="rId4" Type="http://schemas.openxmlformats.org/officeDocument/2006/relationships/webSettings" Target="webSettings.xml"/><Relationship Id="rId9" Type="http://schemas.openxmlformats.org/officeDocument/2006/relationships/hyperlink" Target="http://montanayouthtransitions.org/regions/" TargetMode="External"/><Relationship Id="rId14" Type="http://schemas.openxmlformats.org/officeDocument/2006/relationships/hyperlink" Target="http://ruralinstitute.umt.edu/transition/forms_tools.asp" TargetMode="External"/><Relationship Id="rId22" Type="http://schemas.openxmlformats.org/officeDocument/2006/relationships/hyperlink" Target="http://www.ncwd-youth.info/postsecondaryguide" TargetMode="External"/><Relationship Id="rId27" Type="http://schemas.openxmlformats.org/officeDocument/2006/relationships/hyperlink" Target="http://montanayouthtransitions.org/mytransitions-soft-skills-curriculum/" TargetMode="External"/><Relationship Id="rId30" Type="http://schemas.openxmlformats.org/officeDocument/2006/relationships/hyperlink" Target="http://www.handsonbanking.org/en/"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1830</Words>
  <Characters>10431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Dadmun, Melissa</dc:creator>
  <cp:keywords/>
  <dc:description/>
  <cp:lastModifiedBy>Pender Kim</cp:lastModifiedBy>
  <cp:revision>2</cp:revision>
  <dcterms:created xsi:type="dcterms:W3CDTF">2017-04-13T15:49:00Z</dcterms:created>
  <dcterms:modified xsi:type="dcterms:W3CDTF">2017-04-13T15:49:00Z</dcterms:modified>
</cp:coreProperties>
</file>